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before="240"/>
        <w:jc w:val="center"/>
      </w:pPr>
      <w:r>
        <w:rPr>
          <w:rFonts w:ascii="Georgia" w:cs="Georgia" w:eastAsia="Georgia" w:hAnsi="Georgia"/>
          <w:b/>
          <w:bCs/>
          <w:color w:val="111111"/>
          <w:sz w:val="34"/>
          <w:szCs w:val="34"/>
        </w:rPr>
        <w:t xml:space="preserve">ACUERDO DE CONFIDENCIALIDAD</w:t>
      </w:r>
    </w:p>
    <w:p>
      <w:pPr>
        <w:spacing w:after="60"/>
        <w:jc w:val="center"/>
      </w:pPr>
      <w:r>
        <w:rPr>
          <w:rFonts w:ascii="Arial" w:cs="Arial" w:eastAsia="Arial" w:hAnsi="Arial"/>
          <w:i/>
          <w:iCs/>
          <w:color w:val="6b6b6b"/>
          <w:sz w:val="20"/>
          <w:szCs w:val="20"/>
        </w:rPr>
        <w:t xml:space="preserve">(Non-Disclosure Agreement — Mutuo)</w:t>
      </w:r>
    </w:p>
    <w:p>
      <w:pPr>
        <w:pBdr>
          <w:bottom w:val="single" w:color="cccccc" w:sz="4" w:space="8"/>
        </w:pBdr>
        <w:spacing w:after="220"/>
        <w:jc w:val="center"/>
      </w:pPr>
      <w:r>
        <w:rPr>
          <w:rFonts w:ascii="Arial" w:cs="Arial" w:eastAsia="Arial" w:hAnsi="Arial"/>
          <w:color w:val="6b6b6b"/>
          <w:sz w:val="18"/>
          <w:szCs w:val="18"/>
        </w:rPr>
        <w:t xml:space="preserve">Machote de trabajo — Proyecto de desarrollo de software</w:t>
      </w:r>
    </w:p>
    <w:p>
      <w:pPr>
        <w:spacing w:after="140" w:line="276"/>
        <w:jc w:val="both"/>
      </w:pPr>
      <w:r>
        <w:rPr>
          <w:color w:val="111111"/>
          <w:sz w:val="21"/>
          <w:szCs w:val="21"/>
        </w:rPr>
        <w:t xml:space="preserve">El presente Acuerdo de Confidencialidad (el </w:t>
      </w:r>
      <w:r>
        <w:rPr>
          <w:b/>
          <w:bCs/>
          <w:color w:val="111111"/>
          <w:sz w:val="21"/>
          <w:szCs w:val="21"/>
        </w:rPr>
        <w:t xml:space="preserve">“Acuerdo”</w:t>
      </w:r>
      <w:r>
        <w:rPr>
          <w:color w:val="111111"/>
          <w:sz w:val="21"/>
          <w:szCs w:val="21"/>
        </w:rPr>
        <w:t xml:space="preserve">) se celebra el día </w:t>
      </w:r>
      <w:r>
        <w:rPr>
          <w:b/>
          <w:bCs/>
          <w:color w:val="8a5a00"/>
          <w:sz w:val="21"/>
          <w:szCs w:val="21"/>
        </w:rPr>
        <w:t xml:space="preserve">[__ de _______ de 2026]</w:t>
      </w:r>
      <w:r>
        <w:rPr>
          <w:color w:val="111111"/>
          <w:sz w:val="21"/>
          <w:szCs w:val="21"/>
        </w:rPr>
        <w:t xml:space="preserve">, entre:</w:t>
      </w:r>
    </w:p>
    <w:p>
      <w:pPr>
        <w:spacing w:after="140" w:line="276"/>
        <w:jc w:val="both"/>
      </w:pPr>
      <w:r>
        <w:rPr>
          <w:color w:val="111111"/>
          <w:sz w:val="21"/>
          <w:szCs w:val="21"/>
        </w:rPr>
        <w:t xml:space="preserve">DIBATOBA, S.A. de C.V., con Registro Federal de Contribuyentes DIB171204S87 y domicilio en Calle Ámsterdam 247, interior 702, piso 7, Colonia Hipódromo, C.P. 06100, Alcaldía Cuauhtémoc, Ciudad de México</w:t>
      </w:r>
      <w:r>
        <w:rPr>
          <w:color w:val="111111"/>
          <w:sz w:val="21"/>
          <w:szCs w:val="21"/>
        </w:rPr>
        <w:t xml:space="preserve">, representada en este acto por </w:t>
      </w:r>
      <w:r>
        <w:rPr>
          <w:b/>
          <w:bCs/>
          <w:color w:val="8a5a00"/>
          <w:sz w:val="21"/>
          <w:szCs w:val="21"/>
        </w:rPr>
        <w:t xml:space="preserve">[nombre del representante legal]</w:t>
      </w:r>
      <w:r>
        <w:rPr>
          <w:color w:val="111111"/>
          <w:sz w:val="21"/>
          <w:szCs w:val="21"/>
        </w:rPr>
        <w:t xml:space="preserve"> (en lo sucesivo, </w:t>
      </w:r>
      <w:r>
        <w:rPr>
          <w:b/>
          <w:bCs/>
          <w:color w:val="111111"/>
          <w:sz w:val="21"/>
          <w:szCs w:val="21"/>
        </w:rPr>
        <w:t xml:space="preserve">“Void”</w:t>
      </w:r>
      <w:r>
        <w:rPr>
          <w:color w:val="111111"/>
          <w:sz w:val="21"/>
          <w:szCs w:val="21"/>
        </w:rPr>
        <w:t xml:space="preserve">); y</w:t>
      </w:r>
    </w:p>
    <w:p>
      <w:pPr>
        <w:spacing w:after="140" w:line="276"/>
        <w:jc w:val="both"/>
      </w:pPr>
      <w:r>
        <w:rPr>
          <w:b/>
          <w:bCs/>
          <w:color w:val="8a5a00"/>
          <w:sz w:val="21"/>
          <w:szCs w:val="21"/>
        </w:rPr>
        <w:t xml:space="preserve">PLAYERS AND DRIVERS GROUP, S.A. DE C.V.</w:t>
      </w:r>
      <w:r>
        <w:rPr>
          <w:color w:val="111111"/>
          <w:sz w:val="21"/>
          <w:szCs w:val="21"/>
        </w:rPr>
        <w:t xml:space="preserve">, por su propio derecho </w:t>
      </w:r>
      <w:r>
        <w:rPr>
          <w:b/>
          <w:bCs/>
          <w:color w:val="8a5a00"/>
          <w:sz w:val="21"/>
          <w:szCs w:val="21"/>
        </w:rPr>
        <w:t xml:space="preserve">[o en representación de (empresa)]</w:t>
      </w:r>
      <w:r>
        <w:rPr>
          <w:color w:val="111111"/>
          <w:sz w:val="21"/>
          <w:szCs w:val="21"/>
        </w:rPr>
        <w:t xml:space="preserve"> (en lo sucesivo, </w:t>
      </w:r>
      <w:r>
        <w:rPr>
          <w:b/>
          <w:bCs/>
          <w:color w:val="111111"/>
          <w:sz w:val="21"/>
          <w:szCs w:val="21"/>
        </w:rPr>
        <w:t xml:space="preserve">“La Contraparte”</w:t>
      </w:r>
      <w:r>
        <w:rPr>
          <w:color w:val="111111"/>
          <w:sz w:val="21"/>
          <w:szCs w:val="21"/>
        </w:rPr>
        <w:t xml:space="preserve">).</w:t>
      </w:r>
    </w:p>
    <w:p>
      <w:pPr>
        <w:spacing w:after="140" w:line="276"/>
        <w:jc w:val="both"/>
      </w:pPr>
      <w:r>
        <w:rPr>
          <w:color w:val="111111"/>
          <w:sz w:val="21"/>
          <w:szCs w:val="21"/>
        </w:rPr>
        <w:t xml:space="preserve">Void y La Contraparte podrán ser referidas, de forma individual, como una </w:t>
      </w:r>
      <w:r>
        <w:rPr>
          <w:b/>
          <w:bCs/>
          <w:color w:val="111111"/>
          <w:sz w:val="21"/>
          <w:szCs w:val="21"/>
        </w:rPr>
        <w:t xml:space="preserve">“Parte”</w:t>
      </w:r>
      <w:r>
        <w:rPr>
          <w:color w:val="111111"/>
          <w:sz w:val="21"/>
          <w:szCs w:val="21"/>
        </w:rPr>
        <w:t xml:space="preserve"> y, de forma conjunta, como las </w:t>
      </w:r>
      <w:r>
        <w:rPr>
          <w:b/>
          <w:bCs/>
          <w:color w:val="111111"/>
          <w:sz w:val="21"/>
          <w:szCs w:val="21"/>
        </w:rPr>
        <w:t xml:space="preserve">“Partes”</w:t>
      </w:r>
      <w:r>
        <w:rPr>
          <w:color w:val="111111"/>
          <w:sz w:val="21"/>
          <w:szCs w:val="21"/>
        </w:rPr>
        <w:t xml:space="preserve">.</w:t>
      </w:r>
    </w:p>
    <w:p>
      <w:pPr>
        <w:pStyle w:val="Heading1"/>
        <w:spacing w:after="120" w:before="260"/>
      </w:pPr>
      <w:r>
        <w:rPr>
          <w:rFonts w:ascii="Georgia" w:cs="Georgia" w:eastAsia="Georgia" w:hAnsi="Georgia"/>
          <w:b/>
          <w:bCs/>
          <w:color w:val="111111"/>
          <w:sz w:val="24"/>
          <w:szCs w:val="24"/>
        </w:rPr>
        <w:t xml:space="preserve">DECLARACIONES</w:t>
      </w:r>
    </w:p>
    <w:p>
      <w:pPr>
        <w:spacing w:after="140" w:line="276"/>
        <w:jc w:val="both"/>
      </w:pPr>
      <w:r>
        <w:rPr>
          <w:color w:val="111111"/>
          <w:sz w:val="21"/>
          <w:szCs w:val="21"/>
        </w:rPr>
        <w:t xml:space="preserve">Las Partes declaran que tienen interés en sostener conversaciones, reuniones e intercambios de información con el propósito de explorar, evaluar y, en su caso, celebrar una relación para el desarrollo de una plataforma tecnológica de lealtad y pedidos para restaurantes (el </w:t>
      </w:r>
      <w:r>
        <w:rPr>
          <w:b/>
          <w:bCs/>
          <w:color w:val="111111"/>
          <w:sz w:val="21"/>
          <w:szCs w:val="21"/>
        </w:rPr>
        <w:t xml:space="preserve">“Proyecto”</w:t>
      </w:r>
      <w:r>
        <w:rPr>
          <w:color w:val="111111"/>
          <w:sz w:val="21"/>
          <w:szCs w:val="21"/>
        </w:rPr>
        <w:t xml:space="preserve">). Para tal fin, las Partes podrán compartir entre sí información de carácter confidencial, por lo que desean regular su tratamiento conforme a las siguientes:</w:t>
      </w:r>
    </w:p>
    <w:p>
      <w:pPr>
        <w:spacing w:after="120" w:before="60"/>
        <w:jc w:val="center"/>
      </w:pPr>
      <w:r>
        <w:rPr>
          <w:rFonts w:ascii="Georgia" w:cs="Georgia" w:eastAsia="Georgia" w:hAnsi="Georgia"/>
          <w:b/>
          <w:bCs/>
          <w:color w:val="111111"/>
          <w:sz w:val="22"/>
          <w:szCs w:val="22"/>
        </w:rPr>
        <w:t xml:space="preserve">CLÁUSULAS</w:t>
      </w:r>
    </w:p>
    <w:p>
      <w:pPr>
        <w:pStyle w:val="Heading1"/>
        <w:spacing w:after="120" w:before="260"/>
      </w:pPr>
      <w:r>
        <w:rPr>
          <w:rFonts w:ascii="Georgia" w:cs="Georgia" w:eastAsia="Georgia" w:hAnsi="Georgia"/>
          <w:b/>
          <w:bCs/>
          <w:color w:val="111111"/>
          <w:sz w:val="24"/>
          <w:szCs w:val="24"/>
        </w:rPr>
        <w:t xml:space="preserve">PRIMERA. Objeto</w:t>
      </w:r>
    </w:p>
    <w:p>
      <w:pPr>
        <w:spacing w:after="140" w:line="276"/>
        <w:jc w:val="both"/>
      </w:pPr>
      <w:r>
        <w:rPr>
          <w:color w:val="111111"/>
          <w:sz w:val="21"/>
          <w:szCs w:val="21"/>
        </w:rPr>
        <w:t xml:space="preserve">El objeto del presente Acuerdo es establecer los términos y condiciones bajo los cuales las Partes protegerán la Información Confidencial que se divulguen entre sí con motivo del Proyecto, ya sea de forma verbal, escrita, electrónica, visual o por cualquier otro medio.</w:t>
      </w:r>
    </w:p>
    <w:p>
      <w:pPr>
        <w:pStyle w:val="Heading1"/>
        <w:spacing w:after="120" w:before="260"/>
      </w:pPr>
      <w:r>
        <w:rPr>
          <w:rFonts w:ascii="Georgia" w:cs="Georgia" w:eastAsia="Georgia" w:hAnsi="Georgia"/>
          <w:b/>
          <w:bCs/>
          <w:color w:val="111111"/>
          <w:sz w:val="24"/>
          <w:szCs w:val="24"/>
        </w:rPr>
        <w:t xml:space="preserve">SEGUNDA. Información Confidencial</w:t>
      </w:r>
    </w:p>
    <w:p>
      <w:pPr>
        <w:spacing w:after="140" w:line="276"/>
        <w:jc w:val="both"/>
      </w:pPr>
      <w:r>
        <w:rPr>
          <w:color w:val="111111"/>
          <w:sz w:val="21"/>
          <w:szCs w:val="21"/>
        </w:rPr>
        <w:t xml:space="preserve">Se entenderá por “Información Confidencial” toda información, dato, material o documento —tangible o intangible— que una Parte (la “Parte Reveladora”) divulgue a la otra (la “Parte Receptora”), incluyendo de manera enunciativa mas no limitativa: ideas, conceptos, modelos de negocio, estrategias, mecánicas de lealtad, arquitectura y diseño de producto, prototipos, código, algoritmos, arquitectura de software, interfaces de usuario (UI), experiencia de usuario (UX), documentación funcional, documentación técnica, especificaciones, diagramas, APIs, bases de datos, modelos de inteligencia artificial, prompts, flujos de trabajo, repositorios de código, credenciales de acceso y cualquier información relacionada con el desarrollo tecnológico del Proyecto, así como planes financieros, listas y datos de clientes o restaurantes, proveedores, precios, know-how, y cualquier información marcada como confidencial o que, por su naturaleza, razonablemente deba considerarse como tal.</w:t>
      </w:r>
    </w:p>
    <w:p>
      <w:pPr>
        <w:spacing w:after="140" w:line="276"/>
        <w:jc w:val="both"/>
      </w:pPr>
      <w:r>
        <w:rPr>
          <w:color w:val="111111"/>
          <w:sz w:val="21"/>
          <w:szCs w:val="21"/>
        </w:rPr>
        <w:t xml:space="preserve">Asimismo, tendrán el carácter de Información Confidencial las notas, resúmenes, análisis, reportes, estudios y demás documentos derivados que cualquiera de las Partes elabore a partir de la Información Confidencial.</w:t>
      </w:r>
    </w:p>
    <w:p>
      <w:pPr>
        <w:spacing w:after="140" w:line="276"/>
        <w:jc w:val="both"/>
      </w:pPr>
      <w:r>
        <w:rPr>
          <w:color w:val="111111"/>
          <w:sz w:val="21"/>
          <w:szCs w:val="21"/>
        </w:rPr>
        <w:t xml:space="preserve">La Información Confidencial conservará dicho carácter aun cuando sea comunicada verbalmente, mediante reuniones, demostraciones, videoconferencias o cualquier otro medio, siempre que por su naturaleza razonablemente deba considerarse confidencial.</w:t>
      </w:r>
    </w:p>
    <w:p>
      <w:pPr>
        <w:pStyle w:val="Heading1"/>
        <w:spacing w:after="120" w:before="260"/>
      </w:pPr>
      <w:r>
        <w:rPr>
          <w:rFonts w:ascii="Georgia" w:cs="Georgia" w:eastAsia="Georgia" w:hAnsi="Georgia"/>
          <w:b/>
          <w:bCs/>
          <w:color w:val="111111"/>
          <w:sz w:val="24"/>
          <w:szCs w:val="24"/>
        </w:rPr>
        <w:t xml:space="preserve">TERCERA. Exclusiones</w:t>
      </w:r>
    </w:p>
    <w:p>
      <w:pPr>
        <w:spacing w:after="140" w:line="276"/>
        <w:jc w:val="both"/>
      </w:pPr>
      <w:r>
        <w:rPr>
          <w:color w:val="111111"/>
          <w:sz w:val="21"/>
          <w:szCs w:val="21"/>
        </w:rPr>
        <w:t xml:space="preserve">No se considerará Información Confidencial aquella que la Parte Receptora acredite fehacientemente que: (i) era de dominio público al momento de su divulgación o pasó a serlo por causas ajenas a un incumplimiento del presente Acuerdo; (ii) ya obraba legítimamente en su poder antes de la divulgación y sin obligación de confidencialidad; (iii) fue desarrollada de forma independiente sin uso de la Información Confidencial; o (iv) fue recibida legítimamente de un tercero sin obligación de reserva.</w:t>
      </w:r>
    </w:p>
    <w:p>
      <w:pPr>
        <w:pStyle w:val="Heading1"/>
        <w:spacing w:after="120" w:before="260"/>
      </w:pPr>
      <w:r>
        <w:rPr>
          <w:rFonts w:ascii="Georgia" w:cs="Georgia" w:eastAsia="Georgia" w:hAnsi="Georgia"/>
          <w:b/>
          <w:bCs/>
          <w:color w:val="111111"/>
          <w:sz w:val="24"/>
          <w:szCs w:val="24"/>
        </w:rPr>
        <w:t xml:space="preserve">CUARTA. Obligaciones de la Parte Receptora</w:t>
      </w:r>
    </w:p>
    <w:p>
      <w:pPr>
        <w:spacing w:after="140" w:line="276"/>
        <w:jc w:val="both"/>
      </w:pPr>
      <w:r>
        <w:rPr>
          <w:color w:val="111111"/>
          <w:sz w:val="21"/>
          <w:szCs w:val="21"/>
        </w:rPr>
        <w:t xml:space="preserve">La Parte Receptora se obliga a: (i) mantener la Información Confidencial bajo estricta reserva y con el mismo grado de cuidado que emplea para proteger su propia información confidencial, sin que este sea menor a un grado razonable; (ii) no divulgarla a terceros sin autorización previa y por escrito de la Parte Reveladora; (iii) utilizarla exclusivamente para los fines del Proyecto; y (iv) no explotarla, comercializarla ni reproducirla para beneficio propio o de terceros fuera de dichos fines.</w:t>
      </w:r>
    </w:p>
    <w:p>
      <w:pPr>
        <w:pStyle w:val="Heading1"/>
        <w:spacing w:after="120" w:before="260"/>
      </w:pPr>
      <w:r>
        <w:rPr>
          <w:rFonts w:ascii="Georgia" w:cs="Georgia" w:eastAsia="Georgia" w:hAnsi="Georgia"/>
          <w:b/>
          <w:bCs/>
          <w:color w:val="111111"/>
          <w:sz w:val="24"/>
          <w:szCs w:val="24"/>
        </w:rPr>
        <w:t xml:space="preserve">QUINTA. Uso permitido</w:t>
      </w:r>
    </w:p>
    <w:p>
      <w:pPr>
        <w:spacing w:after="140" w:line="276"/>
        <w:jc w:val="both"/>
      </w:pPr>
      <w:r>
        <w:rPr>
          <w:color w:val="111111"/>
          <w:sz w:val="21"/>
          <w:szCs w:val="21"/>
        </w:rPr>
        <w:t xml:space="preserve">La Información Confidencial únicamente podrá ser utilizada para evaluar, estructurar y, en su caso, ejecutar el Proyecto. Cualquier otro uso queda expresamente prohibido salvo consentimiento previo y por escrito de la Parte Reveladora.</w:t>
      </w:r>
    </w:p>
    <w:p>
      <w:pPr>
        <w:pStyle w:val="Heading1"/>
        <w:spacing w:after="120" w:before="260"/>
      </w:pPr>
      <w:r>
        <w:rPr>
          <w:rFonts w:ascii="Georgia" w:cs="Georgia" w:eastAsia="Georgia" w:hAnsi="Georgia"/>
          <w:b/>
          <w:bCs/>
          <w:color w:val="111111"/>
          <w:sz w:val="24"/>
          <w:szCs w:val="24"/>
        </w:rPr>
        <w:t xml:space="preserve">SEXTA. Propiedad de la información; no se otorga licencia</w:t>
      </w:r>
    </w:p>
    <w:p>
      <w:pPr>
        <w:spacing w:after="140" w:line="276"/>
        <w:jc w:val="both"/>
      </w:pPr>
      <w:r>
        <w:rPr>
          <w:color w:val="111111"/>
          <w:sz w:val="21"/>
          <w:szCs w:val="21"/>
        </w:rPr>
        <w:t xml:space="preserve">Toda la Información Confidencial seguirá siendo propiedad exclusiva de la Parte Reveladora. La celebración del presente Acuerdo no implica cesión, licencia, transmisión, autorización de uso ni reconocimiento alguno respecto de derechos de propiedad intelectual o industrial sobre información, desarrollos presentes o futuros.</w:t>
      </w:r>
    </w:p>
    <w:p>
      <w:pPr>
        <w:spacing w:after="140" w:line="276"/>
        <w:jc w:val="both"/>
      </w:pPr>
      <w:r>
        <w:rPr>
          <w:color w:val="111111"/>
          <w:sz w:val="21"/>
          <w:szCs w:val="21"/>
        </w:rPr>
        <w:t xml:space="preserve">La titularidad de los entregables, código fuente, documentación, diseños, desarrollos, mejoras, materiales y demás resultados derivados del Proyecto será determinada exclusivamente en el contrato de prestación de servicios, obra por encargo o cualquier otro instrumento que, en su caso, celebren posteriormente las Partes.</w:t>
      </w:r>
    </w:p>
    <w:p>
      <w:pPr>
        <w:pStyle w:val="Heading1"/>
        <w:spacing w:after="120" w:before="260"/>
      </w:pPr>
      <w:r>
        <w:rPr>
          <w:rFonts w:ascii="Georgia" w:cs="Georgia" w:eastAsia="Georgia" w:hAnsi="Georgia"/>
          <w:b/>
          <w:bCs/>
          <w:color w:val="111111"/>
          <w:sz w:val="24"/>
          <w:szCs w:val="24"/>
        </w:rPr>
        <w:t xml:space="preserve">SÉPTIMA. Divulgación a personal, aliados y terceros</w:t>
      </w:r>
    </w:p>
    <w:p>
      <w:pPr>
        <w:spacing w:after="140" w:line="276"/>
        <w:jc w:val="both"/>
      </w:pPr>
      <w:r>
        <w:rPr>
          <w:color w:val="111111"/>
          <w:sz w:val="21"/>
          <w:szCs w:val="21"/>
        </w:rPr>
        <w:t xml:space="preserve">La Parte Receptora podrá compartir la Información Confidencial únicamente con su personal, socios, aliados o colaboradores (incluyendo freelancers) que tengan una necesidad legítima de conocerla para los fines del Proyecto, siempre que estos se encuentren obligados a deberes de confidencialidad no menos estrictos que los aquí pactados. La Parte Receptora será responsable por cualquier incumplimiento en que incurran dichas personas.</w:t>
      </w:r>
    </w:p>
    <w:p>
      <w:pPr>
        <w:pStyle w:val="Heading1"/>
        <w:spacing w:after="120" w:before="260"/>
      </w:pPr>
      <w:r>
        <w:rPr>
          <w:rFonts w:ascii="Georgia" w:cs="Georgia" w:eastAsia="Georgia" w:hAnsi="Georgia"/>
          <w:b/>
          <w:bCs/>
          <w:color w:val="111111"/>
          <w:sz w:val="24"/>
          <w:szCs w:val="24"/>
        </w:rPr>
        <w:t xml:space="preserve">OCTAVA. Resguardo de la información</w:t>
      </w:r>
    </w:p>
    <w:p>
      <w:pPr>
        <w:spacing w:after="140" w:line="276"/>
        <w:jc w:val="both"/>
      </w:pPr>
      <w:r>
        <w:rPr>
          <w:color w:val="111111"/>
          <w:sz w:val="21"/>
          <w:szCs w:val="21"/>
        </w:rPr>
        <w:t xml:space="preserve">La Parte Receptora podrá realizar únicamente aquellas copias, respaldos o reproducciones de la Información Confidencial que resulten estrictamente necesarias para el Proyecto. Dichas copias tendrán el mismo carácter confidencial que la información original y quedarán sujetas a todas las obligaciones previstas en el presente Acuerdo.</w:t>
      </w:r>
    </w:p>
    <w:p>
      <w:pPr>
        <w:pStyle w:val="Heading1"/>
        <w:spacing w:after="120" w:before="260"/>
      </w:pPr>
      <w:r>
        <w:rPr>
          <w:rFonts w:ascii="Georgia" w:cs="Georgia" w:eastAsia="Georgia" w:hAnsi="Georgia"/>
          <w:b/>
          <w:bCs/>
          <w:color w:val="111111"/>
          <w:sz w:val="24"/>
          <w:szCs w:val="24"/>
        </w:rPr>
        <w:t xml:space="preserve">NOVENA. Medidas de seguridad</w:t>
      </w:r>
    </w:p>
    <w:p>
      <w:pPr>
        <w:spacing w:after="140" w:line="276"/>
        <w:jc w:val="both"/>
      </w:pPr>
      <w:r>
        <w:rPr>
          <w:color w:val="111111"/>
          <w:sz w:val="21"/>
          <w:szCs w:val="21"/>
        </w:rPr>
        <w:t xml:space="preserve">La Parte Receptora implementará medidas administrativas, físicas y técnicas razonables para proteger la Información Confidencial contra accesos no autorizados, pérdida, alteración o divulgación indebida.</w:t>
      </w:r>
    </w:p>
    <w:p>
      <w:pPr>
        <w:pStyle w:val="Heading1"/>
        <w:spacing w:after="120" w:before="260"/>
      </w:pPr>
      <w:r>
        <w:rPr>
          <w:rFonts w:ascii="Georgia" w:cs="Georgia" w:eastAsia="Georgia" w:hAnsi="Georgia"/>
          <w:b/>
          <w:bCs/>
          <w:color w:val="111111"/>
          <w:sz w:val="24"/>
          <w:szCs w:val="24"/>
        </w:rPr>
        <w:t xml:space="preserve">DÉCIMA. Notificación de incidentes de seguridad</w:t>
      </w:r>
    </w:p>
    <w:p>
      <w:pPr>
        <w:spacing w:after="140" w:line="276"/>
        <w:jc w:val="both"/>
      </w:pPr>
      <w:r>
        <w:rPr>
          <w:color w:val="111111"/>
          <w:sz w:val="21"/>
          <w:szCs w:val="21"/>
        </w:rPr>
        <w:t xml:space="preserve">La Parte Receptora notificará a la Parte Reveladora, sin demora indebida, cualquier acceso no autorizado, pérdida, robo o incidente de seguridad que pudiera comprometer la Información Confidencial, colaborando razonablemente para mitigar sus efectos.</w:t>
      </w:r>
    </w:p>
    <w:p>
      <w:pPr>
        <w:pStyle w:val="Heading1"/>
        <w:spacing w:after="120" w:before="260"/>
      </w:pPr>
      <w:r>
        <w:rPr>
          <w:rFonts w:ascii="Georgia" w:cs="Georgia" w:eastAsia="Georgia" w:hAnsi="Georgia"/>
          <w:b/>
          <w:bCs/>
          <w:color w:val="111111"/>
          <w:sz w:val="24"/>
          <w:szCs w:val="24"/>
        </w:rPr>
        <w:t xml:space="preserve">DÉCIMA PRIMERA. Divulgación obligatoria por ley</w:t>
      </w:r>
    </w:p>
    <w:p>
      <w:pPr>
        <w:spacing w:after="140" w:line="276"/>
        <w:jc w:val="both"/>
      </w:pPr>
      <w:r>
        <w:rPr>
          <w:color w:val="111111"/>
          <w:sz w:val="21"/>
          <w:szCs w:val="21"/>
        </w:rPr>
        <w:t xml:space="preserve">Si la Parte Receptora estuviera legalmente obligada a revelar Información Confidencial por mandato de autoridad competente o disposición legal, deberá, en la medida en que la ley lo permita, notificar previamente y por escrito a la Parte Reveladora para que ésta pueda ejercer los medios de defensa que estime convenientes. La divulgación se limitará a lo estrictamente requerido.</w:t>
      </w:r>
    </w:p>
    <w:p>
      <w:pPr>
        <w:pStyle w:val="Heading1"/>
        <w:spacing w:after="120" w:before="260"/>
      </w:pPr>
      <w:r>
        <w:rPr>
          <w:rFonts w:ascii="Georgia" w:cs="Georgia" w:eastAsia="Georgia" w:hAnsi="Georgia"/>
          <w:b/>
          <w:bCs/>
          <w:color w:val="111111"/>
          <w:sz w:val="24"/>
          <w:szCs w:val="24"/>
        </w:rPr>
        <w:t xml:space="preserve">DÉCIMA SEGUNDA. Vigencia y subsistencia de obligaciones</w:t>
      </w:r>
    </w:p>
    <w:p>
      <w:pPr>
        <w:spacing w:after="140" w:line="276"/>
        <w:jc w:val="both"/>
      </w:pPr>
      <w:r>
        <w:rPr>
          <w:color w:val="111111"/>
          <w:sz w:val="21"/>
          <w:szCs w:val="21"/>
        </w:rPr>
        <w:t xml:space="preserve">El presente Acuerdo entrará en vigor en la fecha de su firma y permanecerá vigente durante las conversaciones y el desarrollo del Proyecto. Las obligaciones de confidencialidad aquí previstas subsistirán por un plazo de </w:t>
      </w:r>
      <w:r>
        <w:rPr>
          <w:b/>
          <w:bCs/>
          <w:color w:val="8a5a00"/>
          <w:sz w:val="21"/>
          <w:szCs w:val="21"/>
        </w:rPr>
        <w:t xml:space="preserve">[5 (cinco)]</w:t>
      </w:r>
      <w:r>
        <w:rPr>
          <w:color w:val="111111"/>
          <w:sz w:val="21"/>
          <w:szCs w:val="21"/>
        </w:rPr>
        <w:t xml:space="preserve"> años contados a partir de la terminación de la relación entre las Partes o de la última divulgación de Información Confidencial, lo que ocurra después.</w:t>
      </w:r>
    </w:p>
    <w:p>
      <w:pPr>
        <w:pStyle w:val="Heading1"/>
        <w:spacing w:after="120" w:before="260"/>
      </w:pPr>
      <w:r>
        <w:rPr>
          <w:rFonts w:ascii="Georgia" w:cs="Georgia" w:eastAsia="Georgia" w:hAnsi="Georgia"/>
          <w:b/>
          <w:bCs/>
          <w:color w:val="111111"/>
          <w:sz w:val="24"/>
          <w:szCs w:val="24"/>
        </w:rPr>
        <w:t xml:space="preserve">DÉCIMA TERCERA. Devolución o destrucción</w:t>
      </w:r>
    </w:p>
    <w:p>
      <w:pPr>
        <w:spacing w:after="140" w:line="276"/>
        <w:jc w:val="both"/>
      </w:pPr>
      <w:r>
        <w:rPr>
          <w:color w:val="111111"/>
          <w:sz w:val="21"/>
          <w:szCs w:val="21"/>
        </w:rPr>
        <w:t xml:space="preserve">A la terminación del presente Acuerdo o a solicitud por escrito de la Parte Reveladora, la Parte Receptora deberá devolver o destruir, a elección de la primera, toda la Información Confidencial en su poder y sus copias, incluyendo aquella almacenada en servicios en la nube, dispositivos electrónicos, repositorios digitales y sistemas de respaldo, en la medida en que resulte técnicamente posible, salvo aquella que deba conservar por obligación legal, la cual seguirá sujeta a las obligaciones de confidencialidad.</w:t>
      </w:r>
    </w:p>
    <w:p>
      <w:pPr>
        <w:pStyle w:val="Heading1"/>
        <w:spacing w:after="120" w:before="260"/>
      </w:pPr>
      <w:r>
        <w:rPr>
          <w:rFonts w:ascii="Georgia" w:cs="Georgia" w:eastAsia="Georgia" w:hAnsi="Georgia"/>
          <w:b/>
          <w:bCs/>
          <w:color w:val="111111"/>
          <w:sz w:val="24"/>
          <w:szCs w:val="24"/>
        </w:rPr>
        <w:t xml:space="preserve">DÉCIMA CUARTA. Ausencia de obligación de contratar y de exclusividad</w:t>
      </w:r>
    </w:p>
    <w:p>
      <w:pPr>
        <w:spacing w:after="140" w:line="276"/>
        <w:jc w:val="both"/>
      </w:pPr>
      <w:r>
        <w:rPr>
          <w:color w:val="111111"/>
          <w:sz w:val="21"/>
          <w:szCs w:val="21"/>
        </w:rPr>
        <w:t xml:space="preserve">Ninguna disposición del presente Acuerdo obliga a las Partes a celebrar contrato adicional alguno, ni otorga exclusividad de ningún tipo, salvo que así se pacte expresamente y por escrito en instrumento separado. Cada Parte conserva la libertad de negociar y contratar con terceros.</w:t>
      </w:r>
    </w:p>
    <w:p>
      <w:pPr>
        <w:pStyle w:val="Heading1"/>
        <w:spacing w:after="120" w:before="260"/>
      </w:pPr>
      <w:r>
        <w:rPr>
          <w:rFonts w:ascii="Georgia" w:cs="Georgia" w:eastAsia="Georgia" w:hAnsi="Georgia"/>
          <w:b/>
          <w:bCs/>
          <w:color w:val="111111"/>
          <w:sz w:val="24"/>
          <w:szCs w:val="24"/>
        </w:rPr>
        <w:t xml:space="preserve">DÉCIMA QUINTA. Ausencia de garantías</w:t>
      </w:r>
    </w:p>
    <w:p>
      <w:pPr>
        <w:spacing w:after="140" w:line="276"/>
        <w:jc w:val="both"/>
      </w:pPr>
      <w:r>
        <w:rPr>
          <w:color w:val="111111"/>
          <w:sz w:val="21"/>
          <w:szCs w:val="21"/>
        </w:rPr>
        <w:t xml:space="preserve">La Información Confidencial se proporciona “tal cual” (“as is”). La Parte Reveladora no otorga garantía alguna, expresa o implícita, sobre su exactitud o integridad, sin perjuicio de la buena fe con la que las Partes se conducen.</w:t>
      </w:r>
    </w:p>
    <w:p>
      <w:pPr>
        <w:pStyle w:val="Heading1"/>
        <w:spacing w:after="120" w:before="260"/>
      </w:pPr>
      <w:r>
        <w:rPr>
          <w:rFonts w:ascii="Georgia" w:cs="Georgia" w:eastAsia="Georgia" w:hAnsi="Georgia"/>
          <w:b/>
          <w:bCs/>
          <w:color w:val="111111"/>
          <w:sz w:val="24"/>
          <w:szCs w:val="24"/>
        </w:rPr>
        <w:t xml:space="preserve">DÉCIMA SEXTA. Incumplimiento y remedios</w:t>
      </w:r>
    </w:p>
    <w:p>
      <w:pPr>
        <w:spacing w:after="140" w:line="276"/>
        <w:jc w:val="both"/>
      </w:pPr>
      <w:r>
        <w:rPr>
          <w:color w:val="111111"/>
          <w:sz w:val="21"/>
          <w:szCs w:val="21"/>
        </w:rPr>
        <w:t xml:space="preserve">Las Partes reconocen que la divulgación no autorizada de Información Confidencial puede causar daños y perjuicios de difícil reparación. En consecuencia, la Parte Reveladora podrá exigir el cumplimiento del presente Acuerdo, solicitar medidas cautelares o precautorias, así como reclamar la indemnización de los daños y perjuicios que el incumplimiento le ocasione, conforme a la legislación aplicable.</w:t>
      </w:r>
    </w:p>
    <w:p>
      <w:pPr>
        <w:pStyle w:val="Heading1"/>
        <w:spacing w:after="120" w:before="260"/>
      </w:pPr>
      <w:r>
        <w:rPr>
          <w:rFonts w:ascii="Georgia" w:cs="Georgia" w:eastAsia="Georgia" w:hAnsi="Georgia"/>
          <w:b/>
          <w:bCs/>
          <w:color w:val="111111"/>
          <w:sz w:val="24"/>
          <w:szCs w:val="24"/>
        </w:rPr>
        <w:t xml:space="preserve">DÉCIMA SÉPTIMA. Notificaciones</w:t>
      </w:r>
    </w:p>
    <w:p>
      <w:pPr>
        <w:spacing w:after="140" w:line="276"/>
        <w:jc w:val="both"/>
      </w:pPr>
      <w:r>
        <w:rPr>
          <w:color w:val="111111"/>
          <w:sz w:val="21"/>
          <w:szCs w:val="21"/>
        </w:rPr>
        <w:t xml:space="preserve">Las Partes señalan como sus domicilios y correos para oír y recibir notificaciones los siguientes: Void: </w:t>
      </w:r>
      <w:r>
        <w:rPr>
          <w:color w:val="111111"/>
          <w:sz w:val="21"/>
          <w:szCs w:val="21"/>
        </w:rPr>
        <w:t xml:space="preserve">Calle Ámsterdam 247, interior 702, piso 7, Colonia Hipódromo, C.P. 06100, Alcaldía Cuauhtémoc, Ciudad de México</w:t>
      </w:r>
      <w:r>
        <w:rPr>
          <w:color w:val="111111"/>
          <w:sz w:val="21"/>
          <w:szCs w:val="21"/>
        </w:rPr>
        <w:t xml:space="preserve"> / </w:t>
      </w:r>
      <w:r>
        <w:rPr>
          <w:b/>
          <w:bCs/>
          <w:color w:val="8a5a00"/>
          <w:sz w:val="21"/>
          <w:szCs w:val="21"/>
        </w:rPr>
        <w:t xml:space="preserve">[correo]</w:t>
      </w:r>
      <w:r>
        <w:rPr>
          <w:color w:val="111111"/>
          <w:sz w:val="21"/>
          <w:szCs w:val="21"/>
        </w:rPr>
        <w:t xml:space="preserve">; La Contraparte: </w:t>
      </w:r>
      <w:r>
        <w:rPr>
          <w:b/>
          <w:bCs/>
          <w:color w:val="8a5a00"/>
          <w:sz w:val="21"/>
          <w:szCs w:val="21"/>
        </w:rPr>
        <w:t xml:space="preserve">[domicilio]</w:t>
      </w:r>
      <w:r>
        <w:rPr>
          <w:color w:val="111111"/>
          <w:sz w:val="21"/>
          <w:szCs w:val="21"/>
        </w:rPr>
        <w:t xml:space="preserve"> / </w:t>
      </w:r>
      <w:r>
        <w:rPr>
          <w:b/>
          <w:bCs/>
          <w:color w:val="8a5a00"/>
          <w:sz w:val="21"/>
          <w:szCs w:val="21"/>
        </w:rPr>
        <w:t xml:space="preserve">[correo]</w:t>
      </w:r>
      <w:r>
        <w:rPr>
          <w:color w:val="111111"/>
          <w:sz w:val="21"/>
          <w:szCs w:val="21"/>
        </w:rPr>
        <w:t xml:space="preserve">. Cualquier cambio deberá notificarse por escrito con al menos 5 (cinco) días de anticipación.</w:t>
      </w:r>
    </w:p>
    <w:p>
      <w:pPr>
        <w:pStyle w:val="Heading1"/>
        <w:spacing w:after="120" w:before="260"/>
      </w:pPr>
      <w:r>
        <w:rPr>
          <w:rFonts w:ascii="Georgia" w:cs="Georgia" w:eastAsia="Georgia" w:hAnsi="Georgia"/>
          <w:b/>
          <w:bCs/>
          <w:color w:val="111111"/>
          <w:sz w:val="24"/>
          <w:szCs w:val="24"/>
        </w:rPr>
        <w:t xml:space="preserve">DÉCIMA OCTAVA. Ley aplicable y jurisdicción</w:t>
      </w:r>
    </w:p>
    <w:p>
      <w:pPr>
        <w:spacing w:after="140" w:line="276"/>
        <w:jc w:val="both"/>
      </w:pPr>
      <w:r>
        <w:rPr>
          <w:color w:val="111111"/>
          <w:sz w:val="21"/>
          <w:szCs w:val="21"/>
        </w:rPr>
        <w:t xml:space="preserve">El presente Acuerdo se regirá e interpretará conforme a las leyes de </w:t>
      </w:r>
      <w:r>
        <w:rPr>
          <w:b/>
          <w:bCs/>
          <w:color w:val="8a5a00"/>
          <w:sz w:val="21"/>
          <w:szCs w:val="21"/>
        </w:rPr>
        <w:t xml:space="preserve">[los Estados Unidos Mexicanos]</w:t>
      </w:r>
      <w:r>
        <w:rPr>
          <w:color w:val="111111"/>
          <w:sz w:val="21"/>
          <w:szCs w:val="21"/>
        </w:rPr>
        <w:t xml:space="preserve">. Para la interpretación y cumplimiento del mismo, las Partes se someten a la jurisdicción de los tribunales competentes de </w:t>
      </w:r>
      <w:r>
        <w:rPr>
          <w:b/>
          <w:bCs/>
          <w:color w:val="8a5a00"/>
          <w:sz w:val="21"/>
          <w:szCs w:val="21"/>
        </w:rPr>
        <w:t xml:space="preserve">Ciudad de México</w:t>
      </w:r>
      <w:r>
        <w:rPr>
          <w:color w:val="111111"/>
          <w:sz w:val="21"/>
          <w:szCs w:val="21"/>
        </w:rPr>
        <w:t xml:space="preserve">, renunciando a cualquier otro fuero que pudiera corresponderles por razón de sus domicilios presentes o futuros.</w:t>
      </w:r>
    </w:p>
    <w:p>
      <w:pPr>
        <w:pStyle w:val="Heading1"/>
        <w:spacing w:after="120" w:before="260"/>
      </w:pPr>
      <w:r>
        <w:rPr>
          <w:rFonts w:ascii="Georgia" w:cs="Georgia" w:eastAsia="Georgia" w:hAnsi="Georgia"/>
          <w:b/>
          <w:bCs/>
          <w:color w:val="111111"/>
          <w:sz w:val="24"/>
          <w:szCs w:val="24"/>
        </w:rPr>
        <w:t xml:space="preserve">DÉCIMA NOVENA. Disposiciones generales</w:t>
      </w:r>
    </w:p>
    <w:p>
      <w:pPr>
        <w:spacing w:after="140" w:line="276"/>
        <w:jc w:val="both"/>
      </w:pPr>
      <w:r>
        <w:rPr>
          <w:color w:val="111111"/>
          <w:sz w:val="21"/>
          <w:szCs w:val="21"/>
        </w:rPr>
        <w:t xml:space="preserve">(i) El presente Acuerdo constituye el entendimiento total entre las Partes respecto de su objeto y deja sin efecto cualquier acuerdo previo sobre la materia. (ii) Cualquier modificación deberá constar por escrito y estar firmada por ambas Partes. (iii) Si alguna disposición resultare nula o inaplicable, las demás conservarán su plena validez. (iv) La tolerancia en el cumplimiento no se entenderá como renuncia a exigirlo posteriormente.</w:t>
      </w:r>
    </w:p>
    <w:p>
      <w:pPr>
        <w:pStyle w:val="Heading1"/>
        <w:spacing w:after="120" w:before="260"/>
      </w:pPr>
      <w:r>
        <w:rPr>
          <w:rFonts w:ascii="Georgia" w:cs="Georgia" w:eastAsia="Georgia" w:hAnsi="Georgia"/>
          <w:b/>
          <w:bCs/>
          <w:color w:val="111111"/>
          <w:sz w:val="24"/>
          <w:szCs w:val="24"/>
        </w:rPr>
        <w:t xml:space="preserve">VIGÉSIMA. Firma electrónica</w:t>
      </w:r>
    </w:p>
    <w:p>
      <w:pPr>
        <w:spacing w:after="140" w:line="276"/>
        <w:jc w:val="both"/>
      </w:pPr>
      <w:r>
        <w:rPr>
          <w:color w:val="111111"/>
          <w:sz w:val="21"/>
          <w:szCs w:val="21"/>
        </w:rPr>
        <w:t xml:space="preserve">Las Partes reconocen que el presente Acuerdo podrá celebrarse mediante firma electrónica o firma electrónica avanzada, incluyendo plataformas como DocuSign, Adobe Acrobat Sign o cualquier otra equivalente, produciendo los mismos efectos jurídicos que una firma autógrafa.</w:t>
      </w:r>
    </w:p>
    <w:p>
      <w:pPr>
        <w:spacing w:after="320" w:before="200"/>
        <w:jc w:val="both"/>
      </w:pPr>
      <w:r>
        <w:rPr>
          <w:i/>
          <w:iCs/>
          <w:color w:val="6b6b6b"/>
          <w:sz w:val="21"/>
          <w:szCs w:val="21"/>
        </w:rPr>
        <w:t xml:space="preserve">Enteradas las Partes del contenido y alcance legal del presente Acuerdo, lo firman de conformidad por duplicado.</w:t>
      </w:r>
    </w:p>
    <w:p>
      <w:pPr>
        <w:tabs>
          <w:tab w:val="left" w:pos="5040"/>
        </w:tabs>
        <w:spacing w:before="200"/>
      </w:pPr>
      <w:r>
        <w:rPr>
          <w:sz w:val="21"/>
          <w:szCs w:val="21"/>
        </w:rPr>
        <w:t xml:space="preserve">____________________________________</w:t>
      </w:r>
      <w:r>
        <w:rPr>
          <w:sz w:val="21"/>
          <w:szCs w:val="21"/>
        </w:rPr>
        <w:tab/>
        <w:t xml:space="preserve">____________________________________</w:t>
      </w:r>
    </w:p>
    <w:p>
      <w:pPr>
        <w:tabs>
          <w:tab w:val="left" w:pos="5040"/>
        </w:tabs>
      </w:pPr>
      <w:r>
        <w:rPr>
          <w:b/>
          <w:bCs/>
          <w:sz w:val="21"/>
          <w:szCs w:val="21"/>
        </w:rPr>
        <w:t xml:space="preserve">Void</w:t>
      </w:r>
      <w:r>
        <w:rPr>
          <w:b/>
          <w:bCs/>
          <w:sz w:val="21"/>
          <w:szCs w:val="21"/>
        </w:rPr>
        <w:tab/>
        <w:t xml:space="preserve">La Contraparte</w:t>
      </w:r>
    </w:p>
    <w:p>
      <w:pPr>
        <w:tabs>
          <w:tab w:val="left" w:pos="5040"/>
        </w:tabs>
        <w:spacing w:after="20"/>
      </w:pPr>
      <w:r>
        <w:rPr>
          <w:color w:val="6b6b6b"/>
          <w:sz w:val="19"/>
          <w:szCs w:val="19"/>
        </w:rPr>
        <w:t xml:space="preserve">Nombre: </w:t>
      </w:r>
      <w:r>
        <w:rPr>
          <w:b/>
          <w:bCs/>
          <w:color w:val="8a5a00"/>
          <w:sz w:val="19"/>
          <w:szCs w:val="19"/>
        </w:rPr>
        <w:t xml:space="preserve">[representante legal]</w:t>
      </w:r>
      <w:r>
        <w:rPr>
          <w:color w:val="6b6b6b"/>
          <w:sz w:val="19"/>
          <w:szCs w:val="19"/>
        </w:rPr>
        <w:tab/>
        <w:t xml:space="preserve">Nombre: </w:t>
      </w:r>
      <w:r>
        <w:rPr>
          <w:b/>
          <w:bCs/>
          <w:color w:val="8a5a00"/>
          <w:sz w:val="19"/>
          <w:szCs w:val="19"/>
        </w:rPr>
        <w:t xml:space="preserve">José Alejandro Gutiérrez Pineda</w:t>
      </w:r>
    </w:p>
    <w:p>
      <w:pPr>
        <w:tabs>
          <w:tab w:val="left" w:pos="5040"/>
        </w:tabs>
      </w:pPr>
      <w:r>
        <w:rPr>
          <w:color w:val="6b6b6b"/>
          <w:sz w:val="19"/>
          <w:szCs w:val="19"/>
        </w:rPr>
        <w:t xml:space="preserve">Cargo: </w:t>
      </w:r>
      <w:r>
        <w:rPr>
          <w:color w:val="8a5a00"/>
          <w:sz w:val="19"/>
          <w:szCs w:val="19"/>
        </w:rPr>
        <w:t xml:space="preserve">[__________]</w:t>
      </w:r>
      <w:r>
        <w:rPr>
          <w:color w:val="6b6b6b"/>
          <w:sz w:val="19"/>
          <w:szCs w:val="19"/>
        </w:rPr>
        <w:tab/>
        <w:t xml:space="preserve">Cargo: </w:t>
      </w:r>
      <w:r>
        <w:rPr>
          <w:color w:val="8a5a00"/>
          <w:sz w:val="19"/>
          <w:szCs w:val="19"/>
        </w:rPr>
        <w:t xml:space="preserve">[__________]</w:t>
      </w: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Arial" w:cs="Arial" w:eastAsia="Arial" w:hAnsi="Arial"/>
        <w:color w:val="6b6b6b"/>
        <w:sz w:val="15"/>
        <w:szCs w:val="15"/>
      </w:rPr>
      <w:t xml:space="preserve">The Void House · Confidencial — Página </w:t>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111111" w:sz="6" w:space="6"/>
      </w:pBdr>
      <w:tabs>
        <w:tab w:val="right" w:pos="9026"/>
      </w:tabs>
      <w:spacing w:after="40"/>
    </w:pPr>
    <w:r>
      <w:drawing>
        <wp:inline distT="0" distB="0" distL="0" distR="0">
          <wp:extent cx="704850" cy="314325"/>
          <wp:effectExtent t="0" r="0" b="0" l="0"/>
          <wp:docPr id="1" name="VOID" descr="VOID" title="V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704850" cy="314325"/>
                  </a:xfrm>
                  <a:prstGeom prst="rect">
                    <a:avLst/>
                  </a:prstGeom>
                </pic:spPr>
              </pic:pic>
            </a:graphicData>
          </a:graphic>
        </wp:inline>
      </w:drawing>
    </w:r>
    <w:r>
      <w:rPr>
        <w:rFonts w:ascii="Arial" w:cs="Arial" w:eastAsia="Arial" w:hAnsi="Arial"/>
        <w:color w:val="6b6b6b"/>
        <w:sz w:val="16"/>
        <w:szCs w:val="16"/>
      </w:rPr>
      <w:tab/>
      <w:t xml:space="preserve">Acuerdo de Confidencialidad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cs="Georgia" w:eastAsia="Georgia" w:hAnsi="Georgia"/>
        <w:color w:val="111111"/>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260"/>
      <w:outlineLvl w:val="0"/>
    </w:pPr>
    <w:rPr>
      <w:rFonts w:ascii="Georgia" w:cs="Georgia" w:eastAsia="Georgia" w:hAnsi="Georgia"/>
      <w:b/>
      <w:bCs/>
      <w:color w:val="111111"/>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e87aafca221f2944586a3593fb160599be8952d3.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2026-07-06T19:53:43.462Z</dcterms:created>
  <dcterms:modified xsi:type="dcterms:W3CDTF">2026-07-06T19:53:43.462Z</dcterms:modified>
</cp:coreProperties>
</file>

<file path=docProps/custom.xml><?xml version="1.0" encoding="utf-8"?>
<Properties xmlns="http://schemas.openxmlformats.org/officeDocument/2006/custom-properties" xmlns:vt="http://schemas.openxmlformats.org/officeDocument/2006/docPropsVTypes"/>
</file>