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before="200"/>
        <w:jc w:val="center"/>
      </w:pPr>
      <w:r>
        <w:rPr>
          <w:rFonts w:ascii="Georgia" w:cs="Georgia" w:eastAsia="Georgia" w:hAnsi="Georgia"/>
          <w:b/>
          <w:bCs/>
          <w:color w:val="111111"/>
          <w:sz w:val="30"/>
          <w:szCs w:val="30"/>
        </w:rPr>
        <w:t xml:space="preserve">CONTRATO DE PRESTACIÓN DE SERVICIOS</w:t>
      </w:r>
    </w:p>
    <w:p>
      <w:pPr>
        <w:spacing w:after="60"/>
        <w:jc w:val="center"/>
      </w:pPr>
      <w:r>
        <w:rPr>
          <w:rFonts w:ascii="Georgia" w:cs="Georgia" w:eastAsia="Georgia" w:hAnsi="Georgia"/>
          <w:b/>
          <w:bCs/>
          <w:color w:val="111111"/>
          <w:sz w:val="30"/>
          <w:szCs w:val="30"/>
        </w:rPr>
        <w:t xml:space="preserve">Y OBRA POR ENCARGO</w:t>
      </w:r>
    </w:p>
    <w:p>
      <w:pPr>
        <w:pBdr>
          <w:bottom w:val="single" w:color="cccccc" w:sz="4" w:space="8"/>
        </w:pBdr>
        <w:spacing w:after="220"/>
        <w:jc w:val="center"/>
      </w:pPr>
      <w:r>
        <w:rPr>
          <w:rFonts w:ascii="Arial" w:cs="Arial" w:eastAsia="Arial" w:hAnsi="Arial"/>
          <w:color w:val="6b6b6b"/>
          <w:sz w:val="18"/>
          <w:szCs w:val="18"/>
        </w:rPr>
        <w:t xml:space="preserve">Machote de trabajo — Proyecto de desarrollo de software</w:t>
      </w:r>
    </w:p>
    <w:p>
      <w:pPr>
        <w:spacing w:after="130" w:line="272"/>
        <w:jc w:val="both"/>
      </w:pPr>
      <w:r>
        <w:rPr>
          <w:color w:val="111111"/>
          <w:sz w:val="21"/>
          <w:szCs w:val="21"/>
        </w:rPr>
        <w:t xml:space="preserve">Contrato de Prestación de Servicios y Obra por Encargo (el </w:t>
      </w:r>
      <w:r>
        <w:rPr>
          <w:b/>
          <w:bCs/>
          <w:color w:val="111111"/>
          <w:sz w:val="21"/>
          <w:szCs w:val="21"/>
        </w:rPr>
        <w:t xml:space="preserve">“Contrato”</w:t>
      </w:r>
      <w:r>
        <w:rPr>
          <w:color w:val="111111"/>
          <w:sz w:val="21"/>
          <w:szCs w:val="21"/>
        </w:rPr>
        <w:t xml:space="preserve">) que celebran, por una parte, </w:t>
      </w:r>
      <w:r>
        <w:rPr>
          <w:color w:val="111111"/>
          <w:sz w:val="21"/>
          <w:szCs w:val="21"/>
        </w:rPr>
        <w:t xml:space="preserve">DIBATOBA, S.A. de C.V., con Registro Federal de Contribuyentes DIB171204S87</w:t>
      </w:r>
      <w:r>
        <w:rPr>
          <w:color w:val="111111"/>
          <w:sz w:val="21"/>
          <w:szCs w:val="21"/>
        </w:rPr>
        <w:t xml:space="preserve">, representada por </w:t>
      </w:r>
      <w:r>
        <w:rPr>
          <w:b/>
          <w:bCs/>
          <w:color w:val="8a5a00"/>
          <w:sz w:val="21"/>
          <w:szCs w:val="21"/>
        </w:rPr>
        <w:t xml:space="preserve">[representante legal]</w:t>
      </w:r>
      <w:r>
        <w:rPr>
          <w:color w:val="111111"/>
          <w:sz w:val="21"/>
          <w:szCs w:val="21"/>
        </w:rPr>
        <w:t xml:space="preserve"> (el </w:t>
      </w:r>
      <w:r>
        <w:rPr>
          <w:b/>
          <w:bCs/>
          <w:color w:val="111111"/>
          <w:sz w:val="21"/>
          <w:szCs w:val="21"/>
        </w:rPr>
        <w:t xml:space="preserve">“Prestador”</w:t>
      </w:r>
      <w:r>
        <w:rPr>
          <w:color w:val="111111"/>
          <w:sz w:val="21"/>
          <w:szCs w:val="21"/>
        </w:rPr>
        <w:t xml:space="preserve"> o </w:t>
      </w:r>
      <w:r>
        <w:rPr>
          <w:b/>
          <w:bCs/>
          <w:color w:val="111111"/>
          <w:sz w:val="21"/>
          <w:szCs w:val="21"/>
        </w:rPr>
        <w:t xml:space="preserve">“Void”</w:t>
      </w:r>
      <w:r>
        <w:rPr>
          <w:color w:val="111111"/>
          <w:sz w:val="21"/>
          <w:szCs w:val="21"/>
        </w:rPr>
        <w:t xml:space="preserve">); y por la otra, </w:t>
      </w:r>
      <w:r>
        <w:rPr>
          <w:b/>
          <w:bCs/>
          <w:color w:val="8a5a00"/>
          <w:sz w:val="21"/>
          <w:szCs w:val="21"/>
        </w:rPr>
        <w:t xml:space="preserve">PLAYERS AND DRIVERS GROUP, S.A. DE C.V.</w:t>
      </w:r>
      <w:r>
        <w:rPr>
          <w:color w:val="111111"/>
          <w:sz w:val="21"/>
          <w:szCs w:val="21"/>
        </w:rPr>
        <w:t xml:space="preserve">, representada por </w:t>
      </w:r>
      <w:r>
        <w:rPr>
          <w:b/>
          <w:bCs/>
          <w:color w:val="8a5a00"/>
          <w:sz w:val="21"/>
          <w:szCs w:val="21"/>
        </w:rPr>
        <w:t xml:space="preserve">[representante legal]</w:t>
      </w:r>
      <w:r>
        <w:rPr>
          <w:color w:val="111111"/>
          <w:sz w:val="21"/>
          <w:szCs w:val="21"/>
        </w:rPr>
        <w:t xml:space="preserve"> (el </w:t>
      </w:r>
      <w:r>
        <w:rPr>
          <w:b/>
          <w:bCs/>
          <w:color w:val="111111"/>
          <w:sz w:val="21"/>
          <w:szCs w:val="21"/>
        </w:rPr>
        <w:t xml:space="preserve">“Cliente”</w:t>
      </w:r>
      <w:r>
        <w:rPr>
          <w:color w:val="111111"/>
          <w:sz w:val="21"/>
          <w:szCs w:val="21"/>
        </w:rPr>
        <w:t xml:space="preserve">); a quienes conjuntamente se les denominará las </w:t>
      </w:r>
      <w:r>
        <w:rPr>
          <w:b/>
          <w:bCs/>
          <w:color w:val="111111"/>
          <w:sz w:val="21"/>
          <w:szCs w:val="21"/>
        </w:rPr>
        <w:t xml:space="preserve">“Partes”</w:t>
      </w:r>
      <w:r>
        <w:rPr>
          <w:color w:val="111111"/>
          <w:sz w:val="21"/>
          <w:szCs w:val="21"/>
        </w:rPr>
        <w:t xml:space="preserve">, al tenor de las siguientes declaraciones y cláusulas.</w:t>
      </w:r>
    </w:p>
    <w:p>
      <w:pPr>
        <w:pStyle w:val="Heading1"/>
        <w:spacing w:after="100" w:before="240"/>
      </w:pPr>
      <w:r>
        <w:rPr>
          <w:rFonts w:ascii="Georgia" w:cs="Georgia" w:eastAsia="Georgia" w:hAnsi="Georgia"/>
          <w:b/>
          <w:bCs/>
          <w:color w:val="111111"/>
          <w:sz w:val="23"/>
          <w:szCs w:val="23"/>
        </w:rPr>
        <w:t xml:space="preserve">DECLARACIONES</w:t>
      </w:r>
    </w:p>
    <w:p>
      <w:pPr>
        <w:spacing w:after="130" w:line="272"/>
        <w:jc w:val="both"/>
      </w:pPr>
      <w:r>
        <w:rPr>
          <w:color w:val="111111"/>
          <w:sz w:val="21"/>
          <w:szCs w:val="21"/>
        </w:rPr>
        <w:t xml:space="preserve">I. Declara el Prestador que es una sociedad mercantil legalmente constituida conforme a las leyes de los Estados Unidos Mexicanos, inscrita en el Registro Federal de Contribuyentes bajo la clave DIB171204S87, con domicilio fiscal en Calle Ámsterdam 247, interior 702, piso 7, Colonia Hipódromo, C.P. 06100, Alcaldía Cuauhtémoc, Ciudad de México, y que cuenta con la experiencia, el equipo y los recursos —propios y a través de su red de aliados— para prestar los servicios objeto de este Contrato.</w:t>
      </w:r>
    </w:p>
    <w:p>
      <w:pPr>
        <w:spacing w:after="130" w:line="272"/>
        <w:jc w:val="both"/>
      </w:pPr>
      <w:r>
        <w:rPr>
          <w:color w:val="111111"/>
          <w:sz w:val="21"/>
          <w:szCs w:val="21"/>
        </w:rPr>
        <w:t xml:space="preserve">II. Declara el Cliente que tiene interés en encargar al Prestador el diseño y desarrollo de una plataforma tecnológica de lealtad y pedidos para restaurantes (el </w:t>
      </w:r>
      <w:r>
        <w:rPr>
          <w:b/>
          <w:bCs/>
          <w:color w:val="111111"/>
          <w:sz w:val="21"/>
          <w:szCs w:val="21"/>
        </w:rPr>
        <w:t xml:space="preserve">“Proyecto”</w:t>
      </w:r>
      <w:r>
        <w:rPr>
          <w:color w:val="111111"/>
          <w:sz w:val="21"/>
          <w:szCs w:val="21"/>
        </w:rPr>
        <w:t xml:space="preserve">), y que cuenta con los recursos para cubrir la contraprestación pactada.</w:t>
      </w:r>
    </w:p>
    <w:p>
      <w:pPr>
        <w:spacing w:after="130" w:line="272"/>
        <w:jc w:val="both"/>
      </w:pPr>
      <w:r>
        <w:rPr>
          <w:color w:val="111111"/>
          <w:sz w:val="21"/>
          <w:szCs w:val="21"/>
        </w:rPr>
        <w:t xml:space="preserve">III. Declaran las Partes que reconocen la validez del Acuerdo de Confidencialidad suscrito previamente, el cual forma parte integral de la relación contractual y subsiste conforme a sus propios términos.</w:t>
      </w:r>
    </w:p>
    <w:p>
      <w:pPr>
        <w:spacing w:after="120" w:before="60"/>
        <w:jc w:val="center"/>
      </w:pPr>
      <w:r>
        <w:rPr>
          <w:rFonts w:ascii="Georgia" w:cs="Georgia" w:eastAsia="Georgia" w:hAnsi="Georgia"/>
          <w:b/>
          <w:bCs/>
          <w:color w:val="111111"/>
          <w:sz w:val="22"/>
          <w:szCs w:val="22"/>
        </w:rPr>
        <w:t xml:space="preserve">CLÁUSULAS</w:t>
      </w:r>
    </w:p>
    <w:p>
      <w:pPr>
        <w:pStyle w:val="Heading1"/>
        <w:spacing w:after="100" w:before="240"/>
      </w:pPr>
      <w:r>
        <w:rPr>
          <w:rFonts w:ascii="Georgia" w:cs="Georgia" w:eastAsia="Georgia" w:hAnsi="Georgia"/>
          <w:b/>
          <w:bCs/>
          <w:color w:val="111111"/>
          <w:sz w:val="23"/>
          <w:szCs w:val="23"/>
        </w:rPr>
        <w:t xml:space="preserve">PRIMERA. Objeto</w:t>
      </w:r>
    </w:p>
    <w:p>
      <w:pPr>
        <w:spacing w:after="130" w:line="272"/>
        <w:jc w:val="both"/>
      </w:pPr>
      <w:r>
        <w:rPr>
          <w:color w:val="111111"/>
          <w:sz w:val="21"/>
          <w:szCs w:val="21"/>
        </w:rPr>
        <w:t xml:space="preserve">El Prestador se obliga a prestar al Cliente los servicios de estrategia, diseño, desarrollo, integración y puesta en marcha del Proyecto, así como a entregar los productos y resultados que de ellos deriven (los “Entregables”), conforme al alcance descrito en el Anexo A y a las disposiciones del presente Contrato.</w:t>
      </w:r>
    </w:p>
    <w:p>
      <w:pPr>
        <w:pStyle w:val="Heading1"/>
        <w:spacing w:after="100" w:before="240"/>
      </w:pPr>
      <w:r>
        <w:rPr>
          <w:rFonts w:ascii="Georgia" w:cs="Georgia" w:eastAsia="Georgia" w:hAnsi="Georgia"/>
          <w:b/>
          <w:bCs/>
          <w:color w:val="111111"/>
          <w:sz w:val="23"/>
          <w:szCs w:val="23"/>
        </w:rPr>
        <w:t xml:space="preserve">SEGUNDA. Alcance y Entregables</w:t>
      </w:r>
    </w:p>
    <w:p>
      <w:pPr>
        <w:spacing w:after="130" w:line="272"/>
        <w:jc w:val="both"/>
      </w:pPr>
      <w:r>
        <w:rPr>
          <w:color w:val="111111"/>
          <w:sz w:val="21"/>
          <w:szCs w:val="21"/>
        </w:rPr>
        <w:t xml:space="preserve">El alcance detallado, los Entregables, las fases y los criterios de aceptación se describen en el Anexo A (Alcance y Entregables), que forma parte integral de este Contrato. Cualquier trabajo no previsto en dicho Anexo se considerará fuera de alcance y se regirá por la cláusula de Cambios de Alcance.</w:t>
      </w:r>
    </w:p>
    <w:p>
      <w:pPr>
        <w:pStyle w:val="Heading1"/>
        <w:spacing w:after="100" w:before="240"/>
      </w:pPr>
      <w:r>
        <w:rPr>
          <w:rFonts w:ascii="Georgia" w:cs="Georgia" w:eastAsia="Georgia" w:hAnsi="Georgia"/>
          <w:b/>
          <w:bCs/>
          <w:color w:val="111111"/>
          <w:sz w:val="23"/>
          <w:szCs w:val="23"/>
        </w:rPr>
        <w:t xml:space="preserve">TERCERA. Libertad técnica y metodología</w:t>
      </w:r>
    </w:p>
    <w:p>
      <w:pPr>
        <w:spacing w:after="130" w:line="272"/>
        <w:jc w:val="both"/>
      </w:pPr>
      <w:r>
        <w:rPr>
          <w:color w:val="111111"/>
          <w:sz w:val="21"/>
          <w:szCs w:val="21"/>
        </w:rPr>
        <w:t xml:space="preserve">Las Partes reconocen que el Proyecto se ejecutará de forma modular y por fases. Cada fase contempla la entrega de demos o versiones funcionales que se prueban e iteran de manera conjunta (co-diseño). La Fase 1 se enfoca en el módulo de lealtad y pedidos; las fases subsecuentes se definirán y presupuestarán conforme a los resultados de la anterior.</w:t>
      </w:r>
    </w:p>
    <w:p>
      <w:pPr>
        <w:spacing w:after="130" w:line="272"/>
        <w:jc w:val="both"/>
      </w:pPr>
      <w:r>
        <w:rPr>
          <w:color w:val="111111"/>
          <w:sz w:val="21"/>
          <w:szCs w:val="21"/>
        </w:rPr>
        <w:t xml:space="preserve">El Prestador conservará en todo momento la libertad técnica para determinar la arquitectura, herramientas, lenguajes de programación, metodologías, frameworks, infraestructura y procesos de desarrollo que estime adecuados para la ejecución del Proyecto, salvo que las Partes acuerden expresamente lo contrario por escrito.</w:t>
      </w:r>
    </w:p>
    <w:p>
      <w:pPr>
        <w:pStyle w:val="Heading1"/>
        <w:spacing w:after="100" w:before="240"/>
      </w:pPr>
      <w:r>
        <w:rPr>
          <w:rFonts w:ascii="Georgia" w:cs="Georgia" w:eastAsia="Georgia" w:hAnsi="Georgia"/>
          <w:b/>
          <w:bCs/>
          <w:color w:val="111111"/>
          <w:sz w:val="23"/>
          <w:szCs w:val="23"/>
        </w:rPr>
        <w:t xml:space="preserve">CUARTA. Colaboración del Cliente</w:t>
      </w:r>
    </w:p>
    <w:p>
      <w:pPr>
        <w:spacing w:after="130" w:line="272"/>
        <w:jc w:val="both"/>
      </w:pPr>
      <w:r>
        <w:rPr>
          <w:color w:val="111111"/>
          <w:sz w:val="21"/>
          <w:szCs w:val="21"/>
        </w:rPr>
        <w:t xml:space="preserve">El Cliente deberá proporcionar de manera oportuna la información, accesos, materiales, contenidos, aprobaciones y recursos necesarios para el desarrollo del Proyecto. Los retrasos o incumplimientos imputables al Cliente modificarán proporcionalmente el cronograma, sin responsabilidad para el Prestador. El Prestador no responderá por retrasos derivados de información incompleta o incorrecta proporcionada por el Cliente.</w:t>
      </w:r>
    </w:p>
    <w:p>
      <w:pPr>
        <w:pStyle w:val="Heading1"/>
        <w:spacing w:after="100" w:before="240"/>
      </w:pPr>
      <w:r>
        <w:rPr>
          <w:rFonts w:ascii="Georgia" w:cs="Georgia" w:eastAsia="Georgia" w:hAnsi="Georgia"/>
          <w:b/>
          <w:bCs/>
          <w:color w:val="111111"/>
          <w:sz w:val="23"/>
          <w:szCs w:val="23"/>
        </w:rPr>
        <w:t xml:space="preserve">QUINTA. Plazos y cronograma</w:t>
      </w:r>
    </w:p>
    <w:p>
      <w:pPr>
        <w:spacing w:after="130" w:line="272"/>
        <w:jc w:val="both"/>
      </w:pPr>
      <w:r>
        <w:rPr>
          <w:color w:val="111111"/>
          <w:sz w:val="21"/>
          <w:szCs w:val="21"/>
        </w:rPr>
        <w:t xml:space="preserve">Los servicios se prestarán conforme al cronograma del Anexo B. La fecha estimada de inicio es </w:t>
      </w:r>
      <w:r>
        <w:rPr>
          <w:b/>
          <w:bCs/>
          <w:color w:val="8a5a00"/>
          <w:sz w:val="21"/>
          <w:szCs w:val="21"/>
        </w:rPr>
        <w:t xml:space="preserve">[__ de _______ de 2026]</w:t>
      </w:r>
      <w:r>
        <w:rPr>
          <w:color w:val="111111"/>
          <w:sz w:val="21"/>
          <w:szCs w:val="21"/>
        </w:rPr>
        <w:t xml:space="preserve">. Los plazos podrán ajustarse por causas no imputables al Prestador, incluyendo demoras del Cliente en aprobaciones, entrega de información o pagos.</w:t>
      </w:r>
    </w:p>
    <w:p>
      <w:pPr>
        <w:pStyle w:val="Heading1"/>
        <w:spacing w:after="100" w:before="240"/>
      </w:pPr>
      <w:r>
        <w:rPr>
          <w:rFonts w:ascii="Georgia" w:cs="Georgia" w:eastAsia="Georgia" w:hAnsi="Georgia"/>
          <w:b/>
          <w:bCs/>
          <w:color w:val="111111"/>
          <w:sz w:val="23"/>
          <w:szCs w:val="23"/>
        </w:rPr>
        <w:t xml:space="preserve">SEXTA. Aceptación de Entregables</w:t>
      </w:r>
    </w:p>
    <w:p>
      <w:pPr>
        <w:spacing w:after="130" w:line="272"/>
        <w:jc w:val="both"/>
      </w:pPr>
      <w:r>
        <w:rPr>
          <w:color w:val="111111"/>
          <w:sz w:val="21"/>
          <w:szCs w:val="21"/>
        </w:rPr>
        <w:t xml:space="preserve">El Cliente contará con un plazo de 5 (cinco) días hábiles, contados a partir de la entrega de cada Entregable, para aceptarlo u observarlo por escrito, señalando de forma específica los defectos que, en su caso, incumplan las especificaciones aprobadas. Transcurrido dicho plazo sin que el Cliente formule observaciones, el Entregable se tendrá por aceptado para todos los efectos.</w:t>
      </w:r>
    </w:p>
    <w:p>
      <w:pPr>
        <w:spacing w:after="130" w:line="272"/>
        <w:jc w:val="both"/>
      </w:pPr>
      <w:r>
        <w:rPr>
          <w:color w:val="111111"/>
          <w:sz w:val="21"/>
          <w:szCs w:val="21"/>
        </w:rPr>
        <w:t xml:space="preserve">Las aprobaciones y observaciones podrán realizarse por correo electrónico o mediante la plataforma de gestión de proyectos acordada por las Partes (por ejemplo: Jira, ClickUp, Notion, Asana o similar). Las comunicaciones por otros medios no tendrán el efecto de aceptar Entregables ni de modificar el alcance.</w:t>
      </w:r>
    </w:p>
    <w:p>
      <w:pPr>
        <w:pStyle w:val="Heading1"/>
        <w:spacing w:after="100" w:before="240"/>
      </w:pPr>
      <w:r>
        <w:rPr>
          <w:rFonts w:ascii="Georgia" w:cs="Georgia" w:eastAsia="Georgia" w:hAnsi="Georgia"/>
          <w:b/>
          <w:bCs/>
          <w:color w:val="111111"/>
          <w:sz w:val="23"/>
          <w:szCs w:val="23"/>
        </w:rPr>
        <w:t xml:space="preserve">SÉPTIMA. Cambios de alcance</w:t>
      </w:r>
    </w:p>
    <w:p>
      <w:pPr>
        <w:spacing w:after="130" w:line="272"/>
        <w:jc w:val="both"/>
      </w:pPr>
      <w:r>
        <w:rPr>
          <w:color w:val="111111"/>
          <w:sz w:val="21"/>
          <w:szCs w:val="21"/>
        </w:rPr>
        <w:t xml:space="preserve">Toda modificación al alcance deberá solicitarse por escrito. El Prestador evaluará el impacto en costo y tiempo, y únicamente quedará obligado a ejecutarla una vez que ambas Partes acepten por escrito dicho impacto. En tanto no exista acuerdo, el Prestador continuará con el alcance originalmente pactado.</w:t>
      </w:r>
    </w:p>
    <w:p>
      <w:pPr>
        <w:pStyle w:val="Heading1"/>
        <w:spacing w:after="100" w:before="240"/>
      </w:pPr>
      <w:r>
        <w:rPr>
          <w:rFonts w:ascii="Georgia" w:cs="Georgia" w:eastAsia="Georgia" w:hAnsi="Georgia"/>
          <w:b/>
          <w:bCs/>
          <w:color w:val="111111"/>
          <w:sz w:val="23"/>
          <w:szCs w:val="23"/>
        </w:rPr>
        <w:t xml:space="preserve">OCTAVA. Contraprestación y forma de pago</w:t>
      </w:r>
    </w:p>
    <w:p>
      <w:pPr>
        <w:spacing w:after="130" w:line="272"/>
        <w:jc w:val="both"/>
      </w:pPr>
      <w:r>
        <w:rPr>
          <w:color w:val="111111"/>
          <w:sz w:val="21"/>
          <w:szCs w:val="21"/>
        </w:rPr>
        <w:t xml:space="preserve">Como contraprestación, el Cliente pagará al Prestador conforme al Anexo C (Precios). El modelo de cobro será </w:t>
      </w:r>
      <w:r>
        <w:rPr>
          <w:b/>
          <w:bCs/>
          <w:color w:val="8a5a00"/>
          <w:sz w:val="21"/>
          <w:szCs w:val="21"/>
        </w:rPr>
        <w:t xml:space="preserve">[iguala mensual (retainer) de $____ + hitos por fase / esquema por definir]</w:t>
      </w:r>
      <w:r>
        <w:rPr>
          <w:color w:val="111111"/>
          <w:sz w:val="21"/>
          <w:szCs w:val="21"/>
        </w:rPr>
        <w:t xml:space="preserve">. Los pagos se realizarán dentro de los </w:t>
      </w:r>
      <w:r>
        <w:rPr>
          <w:b/>
          <w:bCs/>
          <w:color w:val="8a5a00"/>
          <w:sz w:val="21"/>
          <w:szCs w:val="21"/>
        </w:rPr>
        <w:t xml:space="preserve">[__]</w:t>
      </w:r>
      <w:r>
        <w:rPr>
          <w:color w:val="111111"/>
          <w:sz w:val="21"/>
          <w:szCs w:val="21"/>
        </w:rPr>
        <w:t xml:space="preserve"> días naturales siguientes a la emisión de la factura. El retraso en los pagos facultará al Prestador a suspender los servicios, sin que ello constituya incumplimiento alguno ni genere responsabilidad para el Prestador respecto de retrasos posteriores en el cronograma.</w:t>
      </w:r>
    </w:p>
    <w:p>
      <w:pPr>
        <w:pStyle w:val="Heading1"/>
        <w:spacing w:after="100" w:before="240"/>
      </w:pPr>
      <w:r>
        <w:rPr>
          <w:rFonts w:ascii="Georgia" w:cs="Georgia" w:eastAsia="Georgia" w:hAnsi="Georgia"/>
          <w:b/>
          <w:bCs/>
          <w:color w:val="111111"/>
          <w:sz w:val="23"/>
          <w:szCs w:val="23"/>
        </w:rPr>
        <w:t xml:space="preserve">NOVENA. Impuestos y facturación</w:t>
      </w:r>
    </w:p>
    <w:p>
      <w:pPr>
        <w:spacing w:after="130" w:line="272"/>
        <w:jc w:val="both"/>
      </w:pPr>
      <w:r>
        <w:rPr>
          <w:color w:val="111111"/>
          <w:sz w:val="21"/>
          <w:szCs w:val="21"/>
        </w:rPr>
        <w:t xml:space="preserve">Los montos pactados se entienden más el Impuesto al Valor Agregado y las contribuciones que resulten aplicables. El Prestador emitirá el Comprobante Fiscal Digital por Internet (CFDI) correspondiente, y se aplicarán las retenciones que legalmente procedan. Los montos se expresan en </w:t>
      </w:r>
      <w:r>
        <w:rPr>
          <w:b/>
          <w:bCs/>
          <w:color w:val="8a5a00"/>
          <w:sz w:val="21"/>
          <w:szCs w:val="21"/>
        </w:rPr>
        <w:t xml:space="preserve">[pesos mexicanos (MXN) / dólares (USD)]</w:t>
      </w:r>
      <w:r>
        <w:rPr>
          <w:color w:val="111111"/>
          <w:sz w:val="21"/>
          <w:szCs w:val="21"/>
        </w:rPr>
        <w:t xml:space="preserve">; cuando aplique conversión, se utilizará el tipo de cambio publicado por </w:t>
      </w:r>
      <w:r>
        <w:rPr>
          <w:b/>
          <w:bCs/>
          <w:color w:val="8a5a00"/>
          <w:sz w:val="21"/>
          <w:szCs w:val="21"/>
        </w:rPr>
        <w:t xml:space="preserve">[el Banco de México]</w:t>
      </w:r>
      <w:r>
        <w:rPr>
          <w:color w:val="111111"/>
          <w:sz w:val="21"/>
          <w:szCs w:val="21"/>
        </w:rPr>
        <w:t xml:space="preserve"> en la fecha de facturación.</w:t>
      </w:r>
    </w:p>
    <w:p>
      <w:pPr>
        <w:pStyle w:val="Heading1"/>
        <w:spacing w:after="100" w:before="240"/>
      </w:pPr>
      <w:r>
        <w:rPr>
          <w:rFonts w:ascii="Georgia" w:cs="Georgia" w:eastAsia="Georgia" w:hAnsi="Georgia"/>
          <w:b/>
          <w:bCs/>
          <w:color w:val="111111"/>
          <w:sz w:val="23"/>
          <w:szCs w:val="23"/>
        </w:rPr>
        <w:t xml:space="preserve">DÉCIMA. Propiedad intelectual — Obra por encargo</w:t>
      </w:r>
    </w:p>
    <w:p>
      <w:pPr>
        <w:spacing w:after="130" w:line="272"/>
        <w:jc w:val="both"/>
      </w:pPr>
      <w:r>
        <w:rPr>
          <w:color w:val="111111"/>
          <w:sz w:val="21"/>
          <w:szCs w:val="21"/>
        </w:rPr>
        <w:t xml:space="preserve">Las Partes convienen que los Entregables constituyen obra por encargo. Sujeto al pago total de la contraprestación correspondiente a la fase o Entregable de que se trate, el Prestador cede al Cliente, de forma exclusiva y sin limitación territorial ni temporal, la totalidad de los derechos patrimoniales de autor y demás derechos de propiedad intelectual e industrial sobre dichos Entregables, incluyendo código fuente, documentación, diseños e interfaces. En tanto no se cubra el pago correspondiente, la titularidad permanecerá en el Prestador.</w:t>
      </w:r>
    </w:p>
    <w:p>
      <w:pPr>
        <w:spacing w:after="130" w:line="272"/>
        <w:jc w:val="both"/>
      </w:pPr>
      <w:r>
        <w:rPr>
          <w:color w:val="111111"/>
          <w:sz w:val="21"/>
          <w:szCs w:val="21"/>
        </w:rPr>
        <w:t xml:space="preserve">La cesión comprenderá únicamente aquellos desarrollos creados específicamente para el Proyecto y expresamente identificados como Entregables, excluyendo en todo caso los Materiales Preexistentes y cualquier componente reutilizable del Prestador.</w:t>
      </w:r>
    </w:p>
    <w:p>
      <w:pPr>
        <w:spacing w:after="130" w:line="272"/>
        <w:jc w:val="both"/>
      </w:pPr>
      <w:r>
        <w:rPr>
          <w:color w:val="111111"/>
          <w:sz w:val="21"/>
          <w:szCs w:val="21"/>
        </w:rPr>
        <w:t xml:space="preserve">Los elementos de marca, identidad visual, logotipos, íconos, interfaces y nombres que el Prestador diseñe específicamente para el Proyecto como Entregables quedarán comprendidos en la cesión anterior, sujetos igualmente al pago total. Salvo que las Partes acuerden expresamente mantener el Proyecto bajo confidencialidad, el Prestador podrá exhibir dichos trabajos en su portafolio con fines de referencia.</w:t>
      </w:r>
    </w:p>
    <w:p>
      <w:pPr>
        <w:spacing w:after="130" w:line="272"/>
        <w:jc w:val="both"/>
      </w:pPr>
      <w:r>
        <w:rPr>
          <w:color w:val="111111"/>
          <w:sz w:val="21"/>
          <w:szCs w:val="21"/>
        </w:rPr>
        <w:t xml:space="preserve">Los derechos morales, por su naturaleza, son inalienables e irrenunciables y permanecerán en favor de los autores conforme a la legislación aplicable.</w:t>
      </w:r>
    </w:p>
    <w:p>
      <w:pPr>
        <w:pStyle w:val="Heading1"/>
        <w:spacing w:after="100" w:before="240"/>
      </w:pPr>
      <w:r>
        <w:rPr>
          <w:rFonts w:ascii="Georgia" w:cs="Georgia" w:eastAsia="Georgia" w:hAnsi="Georgia"/>
          <w:b/>
          <w:bCs/>
          <w:color w:val="111111"/>
          <w:sz w:val="23"/>
          <w:szCs w:val="23"/>
        </w:rPr>
        <w:t xml:space="preserve">DÉCIMA PRIMERA. Materiales preexistentes, herramientas y componentes reutilizables</w:t>
      </w:r>
    </w:p>
    <w:p>
      <w:pPr>
        <w:spacing w:after="130" w:line="272"/>
        <w:jc w:val="both"/>
      </w:pPr>
      <w:r>
        <w:rPr>
          <w:color w:val="111111"/>
          <w:sz w:val="21"/>
          <w:szCs w:val="21"/>
        </w:rPr>
        <w:t xml:space="preserve">Se exceptúa de la cesión anterior todo el conocimiento (know-how), metodologías, marcos de trabajo, librerías, herramientas, componentes genéricos y desarrollos preexistentes del Prestador (los “Materiales Preexistentes”), incluyendo herramientas de inteligencia artificial, prompts, flujos de automatización, modelos, scripts, plantillas, procesos y metodologías utilizados durante el desarrollo, los cuales seguirán siendo de su exclusiva propiedad. En la medida en que los Entregables incorporen Materiales Preexistentes, el Prestador otorga al Cliente una licencia no exclusiva, perpetua e intransferible para usarlos únicamente en relación con el Proyecto. El Prestador conserva el derecho de reutilizar dichos Materiales Preexistentes en otros proyectos.</w:t>
      </w:r>
    </w:p>
    <w:p>
      <w:pPr>
        <w:pStyle w:val="Heading1"/>
        <w:spacing w:after="100" w:before="240"/>
      </w:pPr>
      <w:r>
        <w:rPr>
          <w:rFonts w:ascii="Georgia" w:cs="Georgia" w:eastAsia="Georgia" w:hAnsi="Georgia"/>
          <w:b/>
          <w:bCs/>
          <w:color w:val="111111"/>
          <w:sz w:val="23"/>
          <w:szCs w:val="23"/>
        </w:rPr>
        <w:t xml:space="preserve">DÉCIMA SEGUNDA. Software de código abierto</w:t>
      </w:r>
    </w:p>
    <w:p>
      <w:pPr>
        <w:spacing w:after="130" w:line="272"/>
        <w:jc w:val="both"/>
      </w:pPr>
      <w:r>
        <w:rPr>
          <w:color w:val="111111"/>
          <w:sz w:val="21"/>
          <w:szCs w:val="21"/>
        </w:rPr>
        <w:t xml:space="preserve">El Cliente reconoce que determinados componentes de los Entregables podrán incorporar software de código abierto (open source) sujeto a sus respectivas licencias, cuyos términos el Cliente se obliga a respetar. El Prestador procurará utilizar licencias compatibles con el uso previsto del Proyecto.</w:t>
      </w:r>
    </w:p>
    <w:p>
      <w:pPr>
        <w:pStyle w:val="Heading1"/>
        <w:spacing w:after="100" w:before="240"/>
      </w:pPr>
      <w:r>
        <w:rPr>
          <w:rFonts w:ascii="Georgia" w:cs="Georgia" w:eastAsia="Georgia" w:hAnsi="Georgia"/>
          <w:b/>
          <w:bCs/>
          <w:color w:val="111111"/>
          <w:sz w:val="23"/>
          <w:szCs w:val="23"/>
        </w:rPr>
        <w:t xml:space="preserve">DÉCIMA TERCERA. Contenido y materiales del Cliente</w:t>
      </w:r>
    </w:p>
    <w:p>
      <w:pPr>
        <w:spacing w:after="130" w:line="272"/>
        <w:jc w:val="both"/>
      </w:pPr>
      <w:r>
        <w:rPr>
          <w:color w:val="111111"/>
          <w:sz w:val="21"/>
          <w:szCs w:val="21"/>
        </w:rPr>
        <w:t xml:space="preserve">Todo contenido y material proporcionado por el Cliente (incluyendo fotografías, logotipos, textos, videos, marcas y bases de datos) seguirá siendo propiedad del Cliente. El Cliente otorga al Prestador una licencia limitada para usarlos con el único fin de ejecutar el Proyecto, y garantiza que cuenta con todos los derechos y autorizaciones necesarios sobre dichos materiales.</w:t>
      </w:r>
    </w:p>
    <w:p>
      <w:pPr>
        <w:pStyle w:val="Heading1"/>
        <w:spacing w:after="100" w:before="240"/>
      </w:pPr>
      <w:r>
        <w:rPr>
          <w:rFonts w:ascii="Georgia" w:cs="Georgia" w:eastAsia="Georgia" w:hAnsi="Georgia"/>
          <w:b/>
          <w:bCs/>
          <w:color w:val="111111"/>
          <w:sz w:val="23"/>
          <w:szCs w:val="23"/>
        </w:rPr>
        <w:t xml:space="preserve">DÉCIMA CUARTA. Protección de datos personales</w:t>
      </w:r>
    </w:p>
    <w:p>
      <w:pPr>
        <w:spacing w:after="130" w:line="272"/>
        <w:jc w:val="both"/>
      </w:pPr>
      <w:r>
        <w:rPr>
          <w:color w:val="111111"/>
          <w:sz w:val="21"/>
          <w:szCs w:val="21"/>
        </w:rPr>
        <w:t xml:space="preserve">Cada Parte será responsable del cumplimiento de la legislación aplicable en materia de protección de datos personales respecto de la información bajo su control. Las Partes definirán por escrito, cuando resulte necesario, si el Prestador actúa como encargado del tratamiento por cuenta del Cliente, así como las instrucciones, finalidades y medidas de seguridad correspondientes.</w:t>
      </w:r>
    </w:p>
    <w:p>
      <w:pPr>
        <w:pStyle w:val="Heading1"/>
        <w:spacing w:after="100" w:before="240"/>
      </w:pPr>
      <w:r>
        <w:rPr>
          <w:rFonts w:ascii="Georgia" w:cs="Georgia" w:eastAsia="Georgia" w:hAnsi="Georgia"/>
          <w:b/>
          <w:bCs/>
          <w:color w:val="111111"/>
          <w:sz w:val="23"/>
          <w:szCs w:val="23"/>
        </w:rPr>
        <w:t xml:space="preserve">DÉCIMA QUINTA. Repositorios y control de versiones</w:t>
      </w:r>
    </w:p>
    <w:p>
      <w:pPr>
        <w:spacing w:after="130" w:line="272"/>
        <w:jc w:val="both"/>
      </w:pPr>
      <w:r>
        <w:rPr>
          <w:color w:val="111111"/>
          <w:sz w:val="21"/>
          <w:szCs w:val="21"/>
        </w:rPr>
        <w:t xml:space="preserve">Durante el desarrollo, los repositorios de código (incluyendo, en su caso, GitHub) permanecerán bajo la administración y control del Prestador. Una vez cubierto el pago correspondiente y concluida la fase respectiva, el Prestador entregará o transferirá al Cliente el acceso a los repositorios y al código fuente de los Entregables aceptados.</w:t>
      </w:r>
    </w:p>
    <w:p>
      <w:pPr>
        <w:pStyle w:val="Heading1"/>
        <w:spacing w:after="100" w:before="240"/>
      </w:pPr>
      <w:r>
        <w:rPr>
          <w:rFonts w:ascii="Georgia" w:cs="Georgia" w:eastAsia="Georgia" w:hAnsi="Georgia"/>
          <w:b/>
          <w:bCs/>
          <w:color w:val="111111"/>
          <w:sz w:val="23"/>
          <w:szCs w:val="23"/>
        </w:rPr>
        <w:t xml:space="preserve">DÉCIMA SEXTA. Infraestructura, entorno de producción y cuentas</w:t>
      </w:r>
    </w:p>
    <w:p>
      <w:pPr>
        <w:spacing w:after="130" w:line="272"/>
        <w:jc w:val="both"/>
      </w:pPr>
      <w:r>
        <w:rPr>
          <w:color w:val="111111"/>
          <w:sz w:val="21"/>
          <w:szCs w:val="21"/>
        </w:rPr>
        <w:t xml:space="preserve">El entorno de producción e infraestructura del Proyecto (proveedores como AWS, Google Cloud, Azure, Vercel, Cloudflare o Digital Ocean, según se defina en el Anexo A) será administrado por </w:t>
      </w:r>
      <w:r>
        <w:rPr>
          <w:b/>
          <w:bCs/>
          <w:color w:val="8a5a00"/>
          <w:sz w:val="21"/>
          <w:szCs w:val="21"/>
        </w:rPr>
        <w:t xml:space="preserve">[el Prestador / el Cliente]</w:t>
      </w:r>
      <w:r>
        <w:rPr>
          <w:color w:val="111111"/>
          <w:sz w:val="21"/>
          <w:szCs w:val="21"/>
        </w:rPr>
        <w:t xml:space="preserve">. La titularidad de las cuentas y su administración a la conclusión del Proyecto se definirá en el mismo Anexo.</w:t>
      </w:r>
    </w:p>
    <w:p>
      <w:pPr>
        <w:spacing w:after="130" w:line="272"/>
        <w:jc w:val="both"/>
      </w:pPr>
      <w:r>
        <w:rPr>
          <w:color w:val="111111"/>
          <w:sz w:val="21"/>
          <w:szCs w:val="21"/>
        </w:rPr>
        <w:t xml:space="preserve">Salvo pacto en contrario, las cuentas de servicios de terceros necesarias para la operación del Proyecto (incluyendo AWS, Firebase, Apple Developer, Google Play, Stripe, Twilio, dominios y DNS) se crearán a nombre del Cliente cuando ello sea técnicamente posible. Si durante el desarrollo alguna cuenta se crea temporalmente bajo la administración del Prestador, éste la transferirá al Cliente una vez cumplidas las obligaciones de pago aplicables.</w:t>
      </w:r>
    </w:p>
    <w:p>
      <w:pPr>
        <w:pStyle w:val="Heading1"/>
        <w:spacing w:after="100" w:before="240"/>
      </w:pPr>
      <w:r>
        <w:rPr>
          <w:rFonts w:ascii="Georgia" w:cs="Georgia" w:eastAsia="Georgia" w:hAnsi="Georgia"/>
          <w:b/>
          <w:bCs/>
          <w:color w:val="111111"/>
          <w:sz w:val="23"/>
          <w:szCs w:val="23"/>
        </w:rPr>
        <w:t xml:space="preserve">DÉCIMA SÉPTIMA. Servicios y APIs de terceros</w:t>
      </w:r>
    </w:p>
    <w:p>
      <w:pPr>
        <w:spacing w:after="130" w:line="272"/>
        <w:jc w:val="both"/>
      </w:pPr>
      <w:r>
        <w:rPr>
          <w:color w:val="111111"/>
          <w:sz w:val="21"/>
          <w:szCs w:val="21"/>
        </w:rPr>
        <w:t xml:space="preserve">El Proyecto podrá integrar servicios y APIs de terceros (como Stripe, Firebase, Twilio, Google Maps, Apple o Meta). El Cliente reconoce que dichos servicios pueden modificar sus funcionalidades, políticas, disponibilidad o precios, o dejar de operar, sin responsabilidad para el Prestador, quien no garantiza la continuidad de servicios ajenos a su control.</w:t>
      </w:r>
    </w:p>
    <w:p>
      <w:pPr>
        <w:pStyle w:val="Heading1"/>
        <w:spacing w:after="100" w:before="240"/>
      </w:pPr>
      <w:r>
        <w:rPr>
          <w:rFonts w:ascii="Georgia" w:cs="Georgia" w:eastAsia="Georgia" w:hAnsi="Georgia"/>
          <w:b/>
          <w:bCs/>
          <w:color w:val="111111"/>
          <w:sz w:val="23"/>
          <w:szCs w:val="23"/>
        </w:rPr>
        <w:t xml:space="preserve">DÉCIMA OCTAVA. Costos y licencias de terceros</w:t>
      </w:r>
    </w:p>
    <w:p>
      <w:pPr>
        <w:spacing w:after="130" w:line="272"/>
        <w:jc w:val="both"/>
      </w:pPr>
      <w:r>
        <w:rPr>
          <w:color w:val="111111"/>
          <w:sz w:val="21"/>
          <w:szCs w:val="21"/>
        </w:rPr>
        <w:t xml:space="preserve">Serán a cargo del Cliente, salvo pacto en contrario, los costos, cuotas y licencias de terceros necesarios para la operación del Proyecto, incluyendo de manera enunciativa: cuentas de Apple Developer y Google Play, servidores e infraestructura de nube (AWS, Firebase u otros), servicios de mensajería (SMS), dominios, certificados SSL y licencias de software. El Prestador informará oportunamente dichos costos.</w:t>
      </w:r>
    </w:p>
    <w:p>
      <w:pPr>
        <w:pStyle w:val="Heading1"/>
        <w:spacing w:after="100" w:before="240"/>
      </w:pPr>
      <w:r>
        <w:rPr>
          <w:rFonts w:ascii="Georgia" w:cs="Georgia" w:eastAsia="Georgia" w:hAnsi="Georgia"/>
          <w:b/>
          <w:bCs/>
          <w:color w:val="111111"/>
          <w:sz w:val="23"/>
          <w:szCs w:val="23"/>
        </w:rPr>
        <w:t xml:space="preserve">DÉCIMA NOVENA. Respaldos</w:t>
      </w:r>
    </w:p>
    <w:p>
      <w:pPr>
        <w:spacing w:after="130" w:line="272"/>
        <w:jc w:val="both"/>
      </w:pPr>
      <w:r>
        <w:rPr>
          <w:color w:val="111111"/>
          <w:sz w:val="21"/>
          <w:szCs w:val="21"/>
        </w:rPr>
        <w:t xml:space="preserve">La política de respaldos (responsable, periodicidad y alcance) se definirá en el Anexo A. Salvo que expresamente se contrate un servicio de respaldo administrado por el Prestador, el Cliente será responsable de conservar copias de su información. El Prestador no será responsable por la pérdida de información derivada de acciones del Cliente o de terceros.</w:t>
      </w:r>
    </w:p>
    <w:p>
      <w:pPr>
        <w:pStyle w:val="Heading1"/>
        <w:spacing w:after="100" w:before="240"/>
      </w:pPr>
      <w:r>
        <w:rPr>
          <w:rFonts w:ascii="Georgia" w:cs="Georgia" w:eastAsia="Georgia" w:hAnsi="Georgia"/>
          <w:b/>
          <w:bCs/>
          <w:color w:val="111111"/>
          <w:sz w:val="23"/>
          <w:szCs w:val="23"/>
        </w:rPr>
        <w:t xml:space="preserve">VIGÉSIMA. Confidencialidad</w:t>
      </w:r>
    </w:p>
    <w:p>
      <w:pPr>
        <w:spacing w:after="130" w:line="272"/>
        <w:jc w:val="both"/>
      </w:pPr>
      <w:r>
        <w:rPr>
          <w:color w:val="111111"/>
          <w:sz w:val="21"/>
          <w:szCs w:val="21"/>
        </w:rPr>
        <w:t xml:space="preserve">Las Partes se obligan a guardar estricta confidencialidad respecto de la información que se compartan con motivo del Proyecto, en los términos del Acuerdo de Confidencialidad suscrito, el cual se tiene aquí por reproducido como si a la letra se insertase.</w:t>
      </w:r>
    </w:p>
    <w:p>
      <w:pPr>
        <w:pStyle w:val="Heading1"/>
        <w:spacing w:after="100" w:before="240"/>
      </w:pPr>
      <w:r>
        <w:rPr>
          <w:rFonts w:ascii="Georgia" w:cs="Georgia" w:eastAsia="Georgia" w:hAnsi="Georgia"/>
          <w:b/>
          <w:bCs/>
          <w:color w:val="111111"/>
          <w:sz w:val="23"/>
          <w:szCs w:val="23"/>
        </w:rPr>
        <w:t xml:space="preserve">VIGÉSIMA PRIMERA. Garantía y soporte</w:t>
      </w:r>
    </w:p>
    <w:p>
      <w:pPr>
        <w:spacing w:after="130" w:line="272"/>
        <w:jc w:val="both"/>
      </w:pPr>
      <w:r>
        <w:rPr>
          <w:color w:val="111111"/>
          <w:sz w:val="21"/>
          <w:szCs w:val="21"/>
        </w:rPr>
        <w:t xml:space="preserve">Para efectos de este Contrato, se entiende por Error (Bug) el funcionamiento que impide que un Entregable opere sustancialmente conforme a las especificaciones aprobadas; no constituyen Errores las solicitudes de mejora, ajustes estéticos o cambios de preferencia. El Prestador determinará el orden de atención de las incidencias conforme a su impacto técnico y operativo.</w:t>
      </w:r>
    </w:p>
    <w:p>
      <w:pPr>
        <w:spacing w:after="130" w:line="272"/>
        <w:jc w:val="both"/>
      </w:pPr>
      <w:r>
        <w:rPr>
          <w:color w:val="111111"/>
          <w:sz w:val="21"/>
          <w:szCs w:val="21"/>
        </w:rPr>
        <w:t xml:space="preserve">El Prestador corregirá, sin costo adicional y por un plazo de </w:t>
      </w:r>
      <w:r>
        <w:rPr>
          <w:b/>
          <w:bCs/>
          <w:color w:val="8a5a00"/>
          <w:sz w:val="21"/>
          <w:szCs w:val="21"/>
        </w:rPr>
        <w:t xml:space="preserve">[__]</w:t>
      </w:r>
      <w:r>
        <w:rPr>
          <w:color w:val="111111"/>
          <w:sz w:val="21"/>
          <w:szCs w:val="21"/>
        </w:rPr>
        <w:t xml:space="preserve"> días posteriores a la aceptación de cada Entregable, los errores reproducibles que le sean imputables y que impidan el funcionamiento sustancial conforme a las especificaciones aprobadas. La garantía no cubre fallas derivadas de mal uso, modificaciones realizadas por terceros, integraciones ajenas o servicios de terceros.</w:t>
      </w:r>
    </w:p>
    <w:p>
      <w:pPr>
        <w:pStyle w:val="Heading1"/>
        <w:spacing w:after="100" w:before="240"/>
      </w:pPr>
      <w:r>
        <w:rPr>
          <w:rFonts w:ascii="Georgia" w:cs="Georgia" w:eastAsia="Georgia" w:hAnsi="Georgia"/>
          <w:b/>
          <w:bCs/>
          <w:color w:val="111111"/>
          <w:sz w:val="23"/>
          <w:szCs w:val="23"/>
        </w:rPr>
        <w:t xml:space="preserve">VIGÉSIMA SEGUNDA. Mantenimiento evolutivo</w:t>
      </w:r>
    </w:p>
    <w:p>
      <w:pPr>
        <w:spacing w:after="130" w:line="272"/>
        <w:jc w:val="both"/>
      </w:pPr>
      <w:r>
        <w:rPr>
          <w:color w:val="111111"/>
          <w:sz w:val="21"/>
          <w:szCs w:val="21"/>
        </w:rPr>
        <w:t xml:space="preserve">Las Partes distinguen entre: (i) corrección de errores (bugs), cubierta por la garantía; (ii) mantenimiento correctivo y preventivo; (iii) mejoras a funcionalidades existentes; y (iv) nuevas funcionalidades. Los supuestos (ii) a (iv) no forman parte del alcance original y se contratarán por separado conforme al esquema que las Partes acuerden por escrito.</w:t>
      </w:r>
    </w:p>
    <w:p>
      <w:pPr>
        <w:pStyle w:val="Heading1"/>
        <w:spacing w:after="100" w:before="240"/>
      </w:pPr>
      <w:r>
        <w:rPr>
          <w:rFonts w:ascii="Georgia" w:cs="Georgia" w:eastAsia="Georgia" w:hAnsi="Georgia"/>
          <w:b/>
          <w:bCs/>
          <w:color w:val="111111"/>
          <w:sz w:val="23"/>
          <w:szCs w:val="23"/>
        </w:rPr>
        <w:t xml:space="preserve">VIGÉSIMA TERCERA. Relación entre las Partes y subcontratación</w:t>
      </w:r>
    </w:p>
    <w:p>
      <w:pPr>
        <w:spacing w:after="130" w:line="272"/>
        <w:jc w:val="both"/>
      </w:pPr>
      <w:r>
        <w:rPr>
          <w:color w:val="111111"/>
          <w:sz w:val="21"/>
          <w:szCs w:val="21"/>
        </w:rPr>
        <w:t xml:space="preserve">El Prestador realizará los servicios con plena autonomía técnica y administrativa, con sus propios recursos. El Prestador podrá utilizar personal interno o externo (aliados o freelancers) bajo su dirección y responsabilidad, quedando éstos sujetos a obligaciones de confidencialidad y cesión de derechos equivalentes. Nada en este Contrato crea relación laboral, de asociación, mandato ni representación entre las Partes, siendo cada una responsable de sus propias obligaciones laborales, fiscales y de seguridad social.</w:t>
      </w:r>
    </w:p>
    <w:p>
      <w:pPr>
        <w:pStyle w:val="Heading1"/>
        <w:spacing w:after="100" w:before="240"/>
      </w:pPr>
      <w:r>
        <w:rPr>
          <w:rFonts w:ascii="Georgia" w:cs="Georgia" w:eastAsia="Georgia" w:hAnsi="Georgia"/>
          <w:b/>
          <w:bCs/>
          <w:color w:val="111111"/>
          <w:sz w:val="23"/>
          <w:szCs w:val="23"/>
        </w:rPr>
        <w:t xml:space="preserve">VIGÉSIMA CUARTA. Limitación de responsabilidad</w:t>
      </w:r>
    </w:p>
    <w:p>
      <w:pPr>
        <w:spacing w:after="130" w:line="272"/>
        <w:jc w:val="both"/>
      </w:pPr>
      <w:r>
        <w:rPr>
          <w:color w:val="111111"/>
          <w:sz w:val="21"/>
          <w:szCs w:val="21"/>
        </w:rPr>
        <w:t xml:space="preserve">Salvo dolo o negligencia grave, la responsabilidad total del Prestador derivada de este Contrato no excederá del monto efectivamente pagado por el Cliente en los </w:t>
      </w:r>
      <w:r>
        <w:rPr>
          <w:b/>
          <w:bCs/>
          <w:color w:val="8a5a00"/>
          <w:sz w:val="21"/>
          <w:szCs w:val="21"/>
        </w:rPr>
        <w:t xml:space="preserve">[__]</w:t>
      </w:r>
      <w:r>
        <w:rPr>
          <w:color w:val="111111"/>
          <w:sz w:val="21"/>
          <w:szCs w:val="21"/>
        </w:rPr>
        <w:t xml:space="preserve"> meses anteriores al evento que la origine. Ninguna Parte será responsable por daños indirectos, incidentales o lucro cesante.</w:t>
      </w:r>
    </w:p>
    <w:p>
      <w:pPr>
        <w:spacing w:after="130" w:line="272"/>
        <w:jc w:val="both"/>
      </w:pPr>
      <w:r>
        <w:rPr>
          <w:color w:val="111111"/>
          <w:sz w:val="21"/>
          <w:szCs w:val="21"/>
        </w:rPr>
        <w:t xml:space="preserve">El Prestador no será responsable por pérdidas de información, interrupciones o fallas de terceros, servicios externos o APIs, ni por cambios, suspensiones o políticas de proveedores tecnológicos como Apple, Google, Amazon Web Services, Stripe, Twilio, Meta o cualquier otro proveedor ajeno al Prestador.</w:t>
      </w:r>
    </w:p>
    <w:p>
      <w:pPr>
        <w:pStyle w:val="Heading1"/>
        <w:spacing w:after="100" w:before="240"/>
      </w:pPr>
      <w:r>
        <w:rPr>
          <w:rFonts w:ascii="Georgia" w:cs="Georgia" w:eastAsia="Georgia" w:hAnsi="Georgia"/>
          <w:b/>
          <w:bCs/>
          <w:color w:val="111111"/>
          <w:sz w:val="23"/>
          <w:szCs w:val="23"/>
        </w:rPr>
        <w:t xml:space="preserve">VIGÉSIMA QUINTA. Indemnidad</w:t>
      </w:r>
    </w:p>
    <w:p>
      <w:pPr>
        <w:spacing w:after="130" w:line="272"/>
        <w:jc w:val="both"/>
      </w:pPr>
      <w:r>
        <w:rPr>
          <w:color w:val="111111"/>
          <w:sz w:val="21"/>
          <w:szCs w:val="21"/>
        </w:rPr>
        <w:t xml:space="preserve">El Cliente mantendrá en paz y a salvo al Prestador, sus socios, personal y aliados, frente a cualquier reclamación, demanda, sanción o responsabilidad derivada de los materiales, contenidos, marcas, datos personales o instrucciones proporcionados por el propio Cliente, incluyendo infracciones a derechos de terceros o a la normatividad aplicable, obligándose a resarcir los gastos y honorarios que ello genere al Prestador.</w:t>
      </w:r>
    </w:p>
    <w:p>
      <w:pPr>
        <w:pStyle w:val="Heading1"/>
        <w:spacing w:after="100" w:before="240"/>
      </w:pPr>
      <w:r>
        <w:rPr>
          <w:rFonts w:ascii="Georgia" w:cs="Georgia" w:eastAsia="Georgia" w:hAnsi="Georgia"/>
          <w:b/>
          <w:bCs/>
          <w:color w:val="111111"/>
          <w:sz w:val="23"/>
          <w:szCs w:val="23"/>
        </w:rPr>
        <w:t xml:space="preserve">VIGÉSIMA SEXTA. Caso fortuito y fuerza mayor</w:t>
      </w:r>
    </w:p>
    <w:p>
      <w:pPr>
        <w:spacing w:after="130" w:line="272"/>
        <w:jc w:val="both"/>
      </w:pPr>
      <w:r>
        <w:rPr>
          <w:color w:val="111111"/>
          <w:sz w:val="21"/>
          <w:szCs w:val="21"/>
        </w:rPr>
        <w:t xml:space="preserve">Ninguna Parte será responsable por el incumplimiento derivado de caso fortuito o fuerza mayor, incluyendo de manera enunciativa: fallas masivas de servicios de nube u hosting, ataques cibernéticos, indisponibilidad de APIs o servicios de terceros, cortes de energía o telecomunicaciones, y cambios regulatorios que impidan la ejecución. La Parte afectada notificará a la otra a la brevedad y ambas procurarán mitigar los efectos.</w:t>
      </w:r>
    </w:p>
    <w:p>
      <w:pPr>
        <w:pStyle w:val="Heading1"/>
        <w:spacing w:after="100" w:before="240"/>
      </w:pPr>
      <w:r>
        <w:rPr>
          <w:rFonts w:ascii="Georgia" w:cs="Georgia" w:eastAsia="Georgia" w:hAnsi="Georgia"/>
          <w:b/>
          <w:bCs/>
          <w:color w:val="111111"/>
          <w:sz w:val="23"/>
          <w:szCs w:val="23"/>
        </w:rPr>
        <w:t xml:space="preserve">VIGÉSIMA SÉPTIMA. Vigencia y terminación</w:t>
      </w:r>
    </w:p>
    <w:p>
      <w:pPr>
        <w:spacing w:after="130" w:line="272"/>
        <w:jc w:val="both"/>
      </w:pPr>
      <w:r>
        <w:rPr>
          <w:color w:val="111111"/>
          <w:sz w:val="21"/>
          <w:szCs w:val="21"/>
        </w:rPr>
        <w:t xml:space="preserve">El presente Contrato estará vigente hasta la conclusión del Proyecto o de la fase contratada. Cualquiera de las Partes podrá darlo por terminado mediante aviso por escrito con </w:t>
      </w:r>
      <w:r>
        <w:rPr>
          <w:b/>
          <w:bCs/>
          <w:color w:val="8a5a00"/>
          <w:sz w:val="21"/>
          <w:szCs w:val="21"/>
        </w:rPr>
        <w:t xml:space="preserve">[__]</w:t>
      </w:r>
      <w:r>
        <w:rPr>
          <w:color w:val="111111"/>
          <w:sz w:val="21"/>
          <w:szCs w:val="21"/>
        </w:rPr>
        <w:t xml:space="preserve"> días de anticipación. En caso de terminación anticipada, el Cliente pagará los servicios efectivamente prestados hasta la fecha de terminación y únicamente tendrá derecho a recibir los Entregables correspondientes a las fases totalmente pagadas.</w:t>
      </w:r>
    </w:p>
    <w:p>
      <w:pPr>
        <w:spacing w:after="130" w:line="272"/>
        <w:jc w:val="both"/>
      </w:pPr>
      <w:r>
        <w:rPr>
          <w:color w:val="111111"/>
          <w:sz w:val="21"/>
          <w:szCs w:val="21"/>
        </w:rPr>
        <w:t xml:space="preserve">Si el Proyecto permanece suspendido por más de </w:t>
      </w:r>
      <w:r>
        <w:rPr>
          <w:b/>
          <w:bCs/>
          <w:color w:val="8a5a00"/>
          <w:sz w:val="21"/>
          <w:szCs w:val="21"/>
        </w:rPr>
        <w:t xml:space="preserve">[30 (treinta)]</w:t>
      </w:r>
      <w:r>
        <w:rPr>
          <w:color w:val="111111"/>
          <w:sz w:val="21"/>
          <w:szCs w:val="21"/>
        </w:rPr>
        <w:t xml:space="preserve"> días naturales por causas imputables al Cliente (incluyendo falta de contenido, aprobaciones, información o pagos), el Prestador podrá darlo por terminado y facturar lo efectivamente devengado hasta esa fecha.</w:t>
      </w:r>
    </w:p>
    <w:p>
      <w:pPr>
        <w:spacing w:after="130" w:line="272"/>
        <w:jc w:val="both"/>
      </w:pPr>
      <w:r>
        <w:rPr>
          <w:color w:val="111111"/>
          <w:sz w:val="21"/>
          <w:szCs w:val="21"/>
        </w:rPr>
        <w:t xml:space="preserve">La terminación del Contrato no afectará las disposiciones que por su naturaleza deban subsistir, incluyendo las relativas a confidencialidad, propiedad intelectual, limitación de responsabilidad, indemnidad y pagos pendientes.</w:t>
      </w:r>
    </w:p>
    <w:p>
      <w:pPr>
        <w:pStyle w:val="Heading1"/>
        <w:spacing w:after="100" w:before="240"/>
      </w:pPr>
      <w:r>
        <w:rPr>
          <w:rFonts w:ascii="Georgia" w:cs="Georgia" w:eastAsia="Georgia" w:hAnsi="Georgia"/>
          <w:b/>
          <w:bCs/>
          <w:color w:val="111111"/>
          <w:sz w:val="23"/>
          <w:szCs w:val="23"/>
        </w:rPr>
        <w:t xml:space="preserve">VIGÉSIMA OCTAVA. No solicitación de personal</w:t>
      </w:r>
    </w:p>
    <w:p>
      <w:pPr>
        <w:spacing w:after="130" w:line="272"/>
        <w:jc w:val="both"/>
      </w:pPr>
      <w:r>
        <w:rPr>
          <w:color w:val="111111"/>
          <w:sz w:val="21"/>
          <w:szCs w:val="21"/>
        </w:rPr>
        <w:t xml:space="preserve">Durante la vigencia del Contrato y por </w:t>
      </w:r>
      <w:r>
        <w:rPr>
          <w:b/>
          <w:bCs/>
          <w:color w:val="8a5a00"/>
          <w:sz w:val="21"/>
          <w:szCs w:val="21"/>
        </w:rPr>
        <w:t xml:space="preserve">[12 (doce)]</w:t>
      </w:r>
      <w:r>
        <w:rPr>
          <w:color w:val="111111"/>
          <w:sz w:val="21"/>
          <w:szCs w:val="21"/>
        </w:rPr>
        <w:t xml:space="preserve"> meses posteriores, ninguna Parte contratará ni solicitará directamente los servicios del personal o colaboradores clave de la otra que hayan participado en el Proyecto, sin consentimiento previo y por escrito.</w:t>
      </w:r>
    </w:p>
    <w:p>
      <w:pPr>
        <w:pStyle w:val="Heading1"/>
        <w:spacing w:after="100" w:before="240"/>
      </w:pPr>
      <w:r>
        <w:rPr>
          <w:rFonts w:ascii="Georgia" w:cs="Georgia" w:eastAsia="Georgia" w:hAnsi="Georgia"/>
          <w:b/>
          <w:bCs/>
          <w:color w:val="111111"/>
          <w:sz w:val="23"/>
          <w:szCs w:val="23"/>
        </w:rPr>
        <w:t xml:space="preserve">VIGÉSIMA NOVENA. Auditoría</w:t>
      </w:r>
    </w:p>
    <w:p>
      <w:pPr>
        <w:spacing w:after="130" w:line="272"/>
        <w:jc w:val="both"/>
      </w:pPr>
      <w:r>
        <w:rPr>
          <w:color w:val="111111"/>
          <w:sz w:val="21"/>
          <w:szCs w:val="21"/>
        </w:rPr>
        <w:t xml:space="preserve">Las facultades de revisión del Cliente se limitan a los Entregables y a la documentación expresamente pactada en el Anexo A. El Cliente no tendrá derecho a auditar, acceder o revisar los repositorios internos, los Materiales Preexistentes, la documentación interna, ni los métodos o herramientas de trabajo del Prestador, salvo acuerdo expreso por escrito.</w:t>
      </w:r>
    </w:p>
    <w:p>
      <w:pPr>
        <w:pStyle w:val="Heading1"/>
        <w:spacing w:after="100" w:before="240"/>
      </w:pPr>
      <w:r>
        <w:rPr>
          <w:rFonts w:ascii="Georgia" w:cs="Georgia" w:eastAsia="Georgia" w:hAnsi="Georgia"/>
          <w:b/>
          <w:bCs/>
          <w:color w:val="111111"/>
          <w:sz w:val="23"/>
          <w:szCs w:val="23"/>
        </w:rPr>
        <w:t xml:space="preserve">TRIGÉSIMA. Cesión</w:t>
      </w:r>
    </w:p>
    <w:p>
      <w:pPr>
        <w:spacing w:after="130" w:line="272"/>
        <w:jc w:val="both"/>
      </w:pPr>
      <w:r>
        <w:rPr>
          <w:color w:val="111111"/>
          <w:sz w:val="21"/>
          <w:szCs w:val="21"/>
        </w:rPr>
        <w:t xml:space="preserve">Ninguna Parte podrá ceder sus derechos u obligaciones bajo este Contrato sin el consentimiento previo y por escrito de la otra, salvo la subcontratación por parte del Prestador prevista en este Contrato.</w:t>
      </w:r>
    </w:p>
    <w:p>
      <w:pPr>
        <w:pStyle w:val="Heading1"/>
        <w:spacing w:after="100" w:before="240"/>
      </w:pPr>
      <w:r>
        <w:rPr>
          <w:rFonts w:ascii="Georgia" w:cs="Georgia" w:eastAsia="Georgia" w:hAnsi="Georgia"/>
          <w:b/>
          <w:bCs/>
          <w:color w:val="111111"/>
          <w:sz w:val="23"/>
          <w:szCs w:val="23"/>
        </w:rPr>
        <w:t xml:space="preserve">TRIGÉSIMA PRIMERA. Solución de controversias</w:t>
      </w:r>
    </w:p>
    <w:p>
      <w:pPr>
        <w:spacing w:after="130" w:line="272"/>
        <w:jc w:val="both"/>
      </w:pPr>
      <w:r>
        <w:rPr>
          <w:color w:val="111111"/>
          <w:sz w:val="21"/>
          <w:szCs w:val="21"/>
        </w:rPr>
        <w:t xml:space="preserve">Ante cualquier controversia, las Partes se obligan a agotar, en orden: (i) una etapa de negociación directa y de buena fe por un plazo de 15 (quince) días naturales; y (ii) de no resolverse, un procedimiento de mediación ante </w:t>
      </w:r>
      <w:r>
        <w:rPr>
          <w:b/>
          <w:bCs/>
          <w:color w:val="8a5a00"/>
          <w:sz w:val="21"/>
          <w:szCs w:val="21"/>
        </w:rPr>
        <w:t xml:space="preserve">[centro de mediación]</w:t>
      </w:r>
      <w:r>
        <w:rPr>
          <w:color w:val="111111"/>
          <w:sz w:val="21"/>
          <w:szCs w:val="21"/>
        </w:rPr>
        <w:t xml:space="preserve">. Agotadas dichas etapas sin acuerdo, la controversia se someterá a la jurisdicción prevista en la cláusula siguiente.</w:t>
      </w:r>
    </w:p>
    <w:p>
      <w:pPr>
        <w:pStyle w:val="Heading1"/>
        <w:spacing w:after="100" w:before="240"/>
      </w:pPr>
      <w:r>
        <w:rPr>
          <w:rFonts w:ascii="Georgia" w:cs="Georgia" w:eastAsia="Georgia" w:hAnsi="Georgia"/>
          <w:b/>
          <w:bCs/>
          <w:color w:val="111111"/>
          <w:sz w:val="23"/>
          <w:szCs w:val="23"/>
        </w:rPr>
        <w:t xml:space="preserve">TRIGÉSIMA SEGUNDA. Ley aplicable y jurisdicción</w:t>
      </w:r>
    </w:p>
    <w:p>
      <w:pPr>
        <w:spacing w:after="130" w:line="272"/>
        <w:jc w:val="both"/>
      </w:pPr>
      <w:r>
        <w:rPr>
          <w:color w:val="111111"/>
          <w:sz w:val="21"/>
          <w:szCs w:val="21"/>
        </w:rPr>
        <w:t xml:space="preserve">Este Contrato se rige por las leyes de </w:t>
      </w:r>
      <w:r>
        <w:rPr>
          <w:b/>
          <w:bCs/>
          <w:color w:val="8a5a00"/>
          <w:sz w:val="21"/>
          <w:szCs w:val="21"/>
        </w:rPr>
        <w:t xml:space="preserve">[los Estados Unidos Mexicanos]</w:t>
      </w:r>
      <w:r>
        <w:rPr>
          <w:color w:val="111111"/>
          <w:sz w:val="21"/>
          <w:szCs w:val="21"/>
        </w:rPr>
        <w:t xml:space="preserve">. Las Partes se someten a la jurisdicción de los tribunales competentes de </w:t>
      </w:r>
      <w:r>
        <w:rPr>
          <w:b/>
          <w:bCs/>
          <w:color w:val="8a5a00"/>
          <w:sz w:val="21"/>
          <w:szCs w:val="21"/>
        </w:rPr>
        <w:t xml:space="preserve">Ciudad de México</w:t>
      </w:r>
      <w:r>
        <w:rPr>
          <w:color w:val="111111"/>
          <w:sz w:val="21"/>
          <w:szCs w:val="21"/>
        </w:rPr>
        <w:t xml:space="preserve">, renunciando a cualquier otro fuero que pudiera corresponderles.</w:t>
      </w:r>
    </w:p>
    <w:p>
      <w:pPr>
        <w:pStyle w:val="Heading1"/>
        <w:spacing w:after="100" w:before="240"/>
      </w:pPr>
      <w:r>
        <w:rPr>
          <w:rFonts w:ascii="Georgia" w:cs="Georgia" w:eastAsia="Georgia" w:hAnsi="Georgia"/>
          <w:b/>
          <w:bCs/>
          <w:color w:val="111111"/>
          <w:sz w:val="23"/>
          <w:szCs w:val="23"/>
        </w:rPr>
        <w:t xml:space="preserve">TRIGÉSIMA TERCERA. Notificaciones y disposiciones generales</w:t>
      </w:r>
    </w:p>
    <w:p>
      <w:pPr>
        <w:spacing w:after="130" w:line="272"/>
        <w:jc w:val="both"/>
      </w:pPr>
      <w:r>
        <w:rPr>
          <w:color w:val="111111"/>
          <w:sz w:val="21"/>
          <w:szCs w:val="21"/>
        </w:rPr>
        <w:t xml:space="preserve">Las notificaciones se realizarán por escrito a los domicilios y correos señalados por las Partes. Este Contrato, junto con sus Anexos y el Acuerdo de Confidencialidad, constituye el acuerdo total entre las Partes y sustituye cualquier entendimiento previo. Cualquier modificación deberá constar por escrito y firmarse por ambas Partes. La nulidad de una cláusula no afectará la validez de las demás.</w:t>
      </w:r>
    </w:p>
    <w:p>
      <w:pPr>
        <w:pStyle w:val="Heading1"/>
        <w:spacing w:after="100" w:before="240"/>
      </w:pPr>
      <w:r>
        <w:rPr>
          <w:rFonts w:ascii="Georgia" w:cs="Georgia" w:eastAsia="Georgia" w:hAnsi="Georgia"/>
          <w:b/>
          <w:bCs/>
          <w:color w:val="111111"/>
          <w:sz w:val="23"/>
          <w:szCs w:val="23"/>
        </w:rPr>
        <w:t xml:space="preserve">TRIGÉSIMA CUARTA. Firma electrónica</w:t>
      </w:r>
    </w:p>
    <w:p>
      <w:pPr>
        <w:spacing w:after="130" w:line="272"/>
        <w:jc w:val="both"/>
      </w:pPr>
      <w:r>
        <w:rPr>
          <w:color w:val="111111"/>
          <w:sz w:val="21"/>
          <w:szCs w:val="21"/>
        </w:rPr>
        <w:t xml:space="preserve">Las Partes reconocen que el presente Contrato y sus Anexos podrán celebrarse mediante firma electrónica o firma electrónica avanzada, incluyendo plataformas como DocuSign, Adobe Acrobat Sign o cualquier otra equivalente, produciendo los mismos efectos jurídicos que una firma autógrafa.</w:t>
      </w:r>
    </w:p>
    <w:p>
      <w:pPr>
        <w:pageBreakBefore/>
        <w:spacing w:after="40"/>
      </w:pPr>
      <w:r>
        <w:rPr>
          <w:rFonts w:ascii="Georgia" w:cs="Georgia" w:eastAsia="Georgia" w:hAnsi="Georgia"/>
          <w:b/>
          <w:bCs/>
          <w:color w:val="111111"/>
          <w:sz w:val="24"/>
          <w:szCs w:val="24"/>
        </w:rPr>
        <w:t xml:space="preserve">ANEXOS</w:t>
      </w:r>
    </w:p>
    <w:p>
      <w:pPr>
        <w:spacing w:after="70"/>
      </w:pPr>
      <w:r>
        <w:rPr>
          <w:rFonts w:ascii="Arial" w:cs="Arial" w:eastAsia="Arial" w:hAnsi="Arial"/>
          <w:i/>
          <w:iCs/>
          <w:color w:val="6b6b6b"/>
          <w:sz w:val="18"/>
          <w:szCs w:val="18"/>
        </w:rPr>
        <w:t xml:space="preserve">Borrador de trabajo (Draft 0.1) — se completa con las respuestas del cuestionario y la sesión estratégica.</w:t>
      </w:r>
    </w:p>
    <w:p>
      <w:pPr>
        <w:spacing w:after="130" w:line="272"/>
        <w:jc w:val="both"/>
      </w:pPr>
      <w:r>
        <w:rPr>
          <w:i/>
          <w:iCs/>
          <w:color w:val="6b6b6b"/>
          <w:sz w:val="21"/>
          <w:szCs w:val="21"/>
        </w:rPr>
        <w:t xml:space="preserve">Estos Anexos son el núcleo vivo del proyecto. El Anexo A es determinante: define con precisión qué se construye y, sobre todo, qué queda fuera.</w:t>
      </w:r>
    </w:p>
    <w:p>
      <w:pPr>
        <w:pStyle w:val="Heading1"/>
        <w:spacing w:after="100" w:before="240"/>
      </w:pPr>
      <w:r>
        <w:rPr>
          <w:rFonts w:ascii="Georgia" w:cs="Georgia" w:eastAsia="Georgia" w:hAnsi="Georgia"/>
          <w:b/>
          <w:bCs/>
          <w:color w:val="111111"/>
          <w:sz w:val="23"/>
          <w:szCs w:val="23"/>
        </w:rPr>
        <w:t xml:space="preserve">Anexo A — Alcance y Entregables</w:t>
      </w:r>
    </w:p>
    <w:p>
      <w:pPr>
        <w:spacing w:after="90" w:line="268"/>
        <w:ind w:left="360"/>
        <w:jc w:val="both"/>
      </w:pPr>
      <w:r>
        <w:rPr>
          <w:b/>
          <w:bCs/>
          <w:color w:val="111111"/>
          <w:sz w:val="20"/>
          <w:szCs w:val="20"/>
        </w:rPr>
        <w:t xml:space="preserve">— Funcionalidades incluidas: </w:t>
      </w:r>
      <w:r>
        <w:rPr>
          <w:b/>
          <w:bCs/>
          <w:color w:val="8a5a00"/>
          <w:sz w:val="20"/>
          <w:szCs w:val="20"/>
        </w:rPr>
        <w:t xml:space="preserve">Pendiente — se define con las respuestas del cuestionario.</w:t>
      </w:r>
    </w:p>
    <w:p>
      <w:pPr>
        <w:spacing w:after="90" w:line="268"/>
        <w:ind w:left="360"/>
        <w:jc w:val="both"/>
      </w:pPr>
      <w:r>
        <w:rPr>
          <w:b/>
          <w:bCs/>
          <w:color w:val="111111"/>
          <w:sz w:val="20"/>
          <w:szCs w:val="20"/>
        </w:rPr>
        <w:t xml:space="preserve">— Funcionalidades excluidas (qué NO hará): </w:t>
      </w:r>
      <w:r>
        <w:rPr>
          <w:b/>
          <w:bCs/>
          <w:color w:val="8a5a00"/>
          <w:sz w:val="20"/>
          <w:szCs w:val="20"/>
        </w:rPr>
        <w:t xml:space="preserve">Pendiente.</w:t>
      </w:r>
    </w:p>
    <w:p>
      <w:pPr>
        <w:spacing w:after="90" w:line="268"/>
        <w:ind w:left="360"/>
        <w:jc w:val="both"/>
      </w:pPr>
      <w:r>
        <w:rPr>
          <w:b/>
          <w:bCs/>
          <w:color w:val="111111"/>
          <w:sz w:val="20"/>
          <w:szCs w:val="20"/>
        </w:rPr>
        <w:t xml:space="preserve">— Plataformas y navegadores: </w:t>
      </w:r>
      <w:r>
        <w:rPr>
          <w:b/>
          <w:bCs/>
          <w:color w:val="8a5a00"/>
          <w:sz w:val="20"/>
          <w:szCs w:val="20"/>
        </w:rPr>
        <w:t xml:space="preserve">Pendiente.</w:t>
      </w:r>
    </w:p>
    <w:p>
      <w:pPr>
        <w:spacing w:after="90" w:line="268"/>
        <w:ind w:left="360"/>
        <w:jc w:val="both"/>
      </w:pPr>
      <w:r>
        <w:rPr>
          <w:b/>
          <w:bCs/>
          <w:color w:val="111111"/>
          <w:sz w:val="20"/>
          <w:szCs w:val="20"/>
        </w:rPr>
        <w:t xml:space="preserve">— APIs y servicios de terceros: </w:t>
      </w:r>
      <w:r>
        <w:rPr>
          <w:b/>
          <w:bCs/>
          <w:color w:val="8a5a00"/>
          <w:sz w:val="20"/>
          <w:szCs w:val="20"/>
        </w:rPr>
        <w:t xml:space="preserve">Pendiente.</w:t>
      </w:r>
    </w:p>
    <w:p>
      <w:pPr>
        <w:spacing w:after="90" w:line="268"/>
        <w:ind w:left="360"/>
        <w:jc w:val="both"/>
      </w:pPr>
      <w:r>
        <w:rPr>
          <w:b/>
          <w:bCs/>
          <w:color w:val="111111"/>
          <w:sz w:val="20"/>
          <w:szCs w:val="20"/>
        </w:rPr>
        <w:t xml:space="preserve">— Entregables por fase: </w:t>
      </w:r>
      <w:r>
        <w:rPr>
          <w:b/>
          <w:bCs/>
          <w:color w:val="8a5a00"/>
          <w:sz w:val="20"/>
          <w:szCs w:val="20"/>
        </w:rPr>
        <w:t xml:space="preserve">Pendiente.</w:t>
      </w:r>
    </w:p>
    <w:p>
      <w:pPr>
        <w:spacing w:after="90" w:line="268"/>
        <w:ind w:left="360"/>
        <w:jc w:val="both"/>
      </w:pPr>
      <w:r>
        <w:rPr>
          <w:b/>
          <w:bCs/>
          <w:color w:val="111111"/>
          <w:sz w:val="20"/>
          <w:szCs w:val="20"/>
        </w:rPr>
        <w:t xml:space="preserve">— Criterios de aceptación: </w:t>
      </w:r>
      <w:r>
        <w:rPr>
          <w:b/>
          <w:bCs/>
          <w:color w:val="8a5a00"/>
          <w:sz w:val="20"/>
          <w:szCs w:val="20"/>
        </w:rPr>
        <w:t xml:space="preserve">Pendiente.</w:t>
      </w:r>
    </w:p>
    <w:p>
      <w:pPr>
        <w:spacing w:after="90" w:line="268"/>
        <w:ind w:left="360"/>
        <w:jc w:val="both"/>
      </w:pPr>
      <w:r>
        <w:rPr>
          <w:b/>
          <w:bCs/>
          <w:color w:val="111111"/>
          <w:sz w:val="20"/>
          <w:szCs w:val="20"/>
        </w:rPr>
        <w:t xml:space="preserve">— Infraestructura y respaldos: </w:t>
      </w:r>
      <w:r>
        <w:rPr>
          <w:b/>
          <w:bCs/>
          <w:color w:val="8a5a00"/>
          <w:sz w:val="20"/>
          <w:szCs w:val="20"/>
        </w:rPr>
        <w:t xml:space="preserve">Pendiente.</w:t>
      </w:r>
    </w:p>
    <w:p>
      <w:pPr>
        <w:spacing w:after="90" w:line="268"/>
        <w:ind w:left="360"/>
        <w:jc w:val="both"/>
      </w:pPr>
      <w:r>
        <w:rPr>
          <w:b/>
          <w:bCs/>
          <w:color w:val="111111"/>
          <w:sz w:val="20"/>
          <w:szCs w:val="20"/>
        </w:rPr>
        <w:t xml:space="preserve">— Representante del Cliente para aprobaciones: </w:t>
      </w:r>
      <w:r>
        <w:rPr>
          <w:b/>
          <w:bCs/>
          <w:color w:val="8a5a00"/>
          <w:sz w:val="20"/>
          <w:szCs w:val="20"/>
        </w:rPr>
        <w:t xml:space="preserve">Pendiente.</w:t>
      </w:r>
    </w:p>
    <w:p>
      <w:pPr>
        <w:spacing w:after="90" w:line="268"/>
        <w:ind w:left="360"/>
        <w:jc w:val="both"/>
      </w:pPr>
      <w:r>
        <w:rPr>
          <w:b/>
          <w:bCs/>
          <w:color w:val="111111"/>
          <w:sz w:val="20"/>
          <w:szCs w:val="20"/>
        </w:rPr>
        <w:t xml:space="preserve">— Medio oficial de comunicación: </w:t>
      </w:r>
      <w:r>
        <w:rPr>
          <w:b/>
          <w:bCs/>
          <w:color w:val="8a5a00"/>
          <w:sz w:val="20"/>
          <w:szCs w:val="20"/>
        </w:rPr>
        <w:t xml:space="preserve">Pendiente.</w:t>
      </w:r>
    </w:p>
    <w:p>
      <w:pPr>
        <w:pStyle w:val="Heading1"/>
        <w:spacing w:after="100" w:before="240"/>
      </w:pPr>
      <w:r>
        <w:rPr>
          <w:rFonts w:ascii="Georgia" w:cs="Georgia" w:eastAsia="Georgia" w:hAnsi="Georgia"/>
          <w:b/>
          <w:bCs/>
          <w:color w:val="111111"/>
          <w:sz w:val="23"/>
          <w:szCs w:val="23"/>
        </w:rPr>
        <w:t xml:space="preserve">Anexo B — Cronograma</w:t>
      </w:r>
    </w:p>
    <w:p>
      <w:pPr>
        <w:spacing w:after="130" w:line="272"/>
        <w:jc w:val="both"/>
      </w:pPr>
      <w:r>
        <w:rPr>
          <w:b/>
          <w:bCs/>
          <w:color w:val="111111"/>
          <w:sz w:val="21"/>
          <w:szCs w:val="21"/>
        </w:rPr>
        <w:t xml:space="preserve">Flujo de fases (sin fechas aún): </w:t>
      </w:r>
      <w:r>
        <w:rPr>
          <w:color w:val="111111"/>
          <w:sz w:val="21"/>
          <w:szCs w:val="21"/>
        </w:rPr>
        <w:t xml:space="preserve">Discovery → Arquitectura → UX/UI → Desarrollo (Sprints) → QA → Piloto → Producción.</w:t>
      </w:r>
    </w:p>
    <w:p>
      <w:pPr>
        <w:spacing w:after="90" w:line="268"/>
        <w:ind w:left="360"/>
        <w:jc w:val="both"/>
      </w:pPr>
      <w:r>
        <w:rPr>
          <w:b/>
          <w:bCs/>
          <w:color w:val="111111"/>
          <w:sz w:val="20"/>
          <w:szCs w:val="20"/>
        </w:rPr>
        <w:t xml:space="preserve">— Fase 1 · Discovery: </w:t>
      </w:r>
      <w:r>
        <w:rPr>
          <w:b/>
          <w:bCs/>
          <w:color w:val="8a5a00"/>
          <w:sz w:val="20"/>
          <w:szCs w:val="20"/>
        </w:rPr>
        <w:t xml:space="preserve">Pendiente.</w:t>
      </w:r>
    </w:p>
    <w:p>
      <w:pPr>
        <w:spacing w:after="90" w:line="268"/>
        <w:ind w:left="360"/>
        <w:jc w:val="both"/>
      </w:pPr>
      <w:r>
        <w:rPr>
          <w:b/>
          <w:bCs/>
          <w:color w:val="111111"/>
          <w:sz w:val="20"/>
          <w:szCs w:val="20"/>
        </w:rPr>
        <w:t xml:space="preserve">— Fase 2 · Arquitectura: </w:t>
      </w:r>
      <w:r>
        <w:rPr>
          <w:b/>
          <w:bCs/>
          <w:color w:val="8a5a00"/>
          <w:sz w:val="20"/>
          <w:szCs w:val="20"/>
        </w:rPr>
        <w:t xml:space="preserve">Pendiente.</w:t>
      </w:r>
    </w:p>
    <w:p>
      <w:pPr>
        <w:spacing w:after="90" w:line="268"/>
        <w:ind w:left="360"/>
        <w:jc w:val="both"/>
      </w:pPr>
      <w:r>
        <w:rPr>
          <w:b/>
          <w:bCs/>
          <w:color w:val="111111"/>
          <w:sz w:val="20"/>
          <w:szCs w:val="20"/>
        </w:rPr>
        <w:t xml:space="preserve">— Fase 3 · UX / UI: </w:t>
      </w:r>
      <w:r>
        <w:rPr>
          <w:b/>
          <w:bCs/>
          <w:color w:val="8a5a00"/>
          <w:sz w:val="20"/>
          <w:szCs w:val="20"/>
        </w:rPr>
        <w:t xml:space="preserve">Pendiente.</w:t>
      </w:r>
    </w:p>
    <w:p>
      <w:pPr>
        <w:spacing w:after="90" w:line="268"/>
        <w:ind w:left="360"/>
        <w:jc w:val="both"/>
      </w:pPr>
      <w:r>
        <w:rPr>
          <w:b/>
          <w:bCs/>
          <w:color w:val="111111"/>
          <w:sz w:val="20"/>
          <w:szCs w:val="20"/>
        </w:rPr>
        <w:t xml:space="preserve">— Fase 4 · Desarrollo (Sprints): </w:t>
      </w:r>
      <w:r>
        <w:rPr>
          <w:b/>
          <w:bCs/>
          <w:color w:val="8a5a00"/>
          <w:sz w:val="20"/>
          <w:szCs w:val="20"/>
        </w:rPr>
        <w:t xml:space="preserve">Pendiente.</w:t>
      </w:r>
    </w:p>
    <w:p>
      <w:pPr>
        <w:spacing w:after="90" w:line="268"/>
        <w:ind w:left="360"/>
        <w:jc w:val="both"/>
      </w:pPr>
      <w:r>
        <w:rPr>
          <w:b/>
          <w:bCs/>
          <w:color w:val="111111"/>
          <w:sz w:val="20"/>
          <w:szCs w:val="20"/>
        </w:rPr>
        <w:t xml:space="preserve">— Fase 5 · QA: </w:t>
      </w:r>
      <w:r>
        <w:rPr>
          <w:b/>
          <w:bCs/>
          <w:color w:val="8a5a00"/>
          <w:sz w:val="20"/>
          <w:szCs w:val="20"/>
        </w:rPr>
        <w:t xml:space="preserve">Pendiente.</w:t>
      </w:r>
    </w:p>
    <w:p>
      <w:pPr>
        <w:spacing w:after="90" w:line="268"/>
        <w:ind w:left="360"/>
        <w:jc w:val="both"/>
      </w:pPr>
      <w:r>
        <w:rPr>
          <w:b/>
          <w:bCs/>
          <w:color w:val="111111"/>
          <w:sz w:val="20"/>
          <w:szCs w:val="20"/>
        </w:rPr>
        <w:t xml:space="preserve">— Fase 6 · Piloto: </w:t>
      </w:r>
      <w:r>
        <w:rPr>
          <w:b/>
          <w:bCs/>
          <w:color w:val="8a5a00"/>
          <w:sz w:val="20"/>
          <w:szCs w:val="20"/>
        </w:rPr>
        <w:t xml:space="preserve">Pendiente.</w:t>
      </w:r>
    </w:p>
    <w:p>
      <w:pPr>
        <w:spacing w:after="90" w:line="268"/>
        <w:ind w:left="360"/>
        <w:jc w:val="both"/>
      </w:pPr>
      <w:r>
        <w:rPr>
          <w:b/>
          <w:bCs/>
          <w:color w:val="111111"/>
          <w:sz w:val="20"/>
          <w:szCs w:val="20"/>
        </w:rPr>
        <w:t xml:space="preserve">— Fase 7 · Producción: </w:t>
      </w:r>
      <w:r>
        <w:rPr>
          <w:b/>
          <w:bCs/>
          <w:color w:val="8a5a00"/>
          <w:sz w:val="20"/>
          <w:szCs w:val="20"/>
        </w:rPr>
        <w:t xml:space="preserve">Pendiente.</w:t>
      </w:r>
    </w:p>
    <w:p>
      <w:pPr>
        <w:pStyle w:val="Heading1"/>
        <w:spacing w:after="100" w:before="240"/>
      </w:pPr>
      <w:r>
        <w:rPr>
          <w:rFonts w:ascii="Georgia" w:cs="Georgia" w:eastAsia="Georgia" w:hAnsi="Georgia"/>
          <w:b/>
          <w:bCs/>
          <w:color w:val="111111"/>
          <w:sz w:val="23"/>
          <w:szCs w:val="23"/>
        </w:rPr>
        <w:t xml:space="preserve">Anexo C — Precios y forma de pago</w:t>
      </w:r>
    </w:p>
    <w:p>
      <w:pPr>
        <w:spacing w:after="130" w:line="272"/>
        <w:jc w:val="both"/>
      </w:pPr>
      <w:r>
        <w:rPr>
          <w:i/>
          <w:iCs/>
          <w:color w:val="6b6b6b"/>
          <w:sz w:val="21"/>
          <w:szCs w:val="21"/>
        </w:rPr>
        <w:t xml:space="preserve">Estructura por fase (montos por definir):</w:t>
      </w:r>
    </w:p>
    <w:p>
      <w:pPr>
        <w:spacing w:after="90" w:line="268"/>
        <w:ind w:left="360"/>
        <w:jc w:val="both"/>
      </w:pPr>
      <w:r>
        <w:rPr>
          <w:b/>
          <w:bCs/>
          <w:color w:val="111111"/>
          <w:sz w:val="20"/>
          <w:szCs w:val="20"/>
        </w:rPr>
        <w:t xml:space="preserve">— Discovery: </w:t>
      </w:r>
      <w:r>
        <w:rPr>
          <w:b/>
          <w:bCs/>
          <w:color w:val="8a5a00"/>
          <w:sz w:val="20"/>
          <w:szCs w:val="20"/>
        </w:rPr>
        <w:t xml:space="preserve">$ — pendiente.</w:t>
      </w:r>
    </w:p>
    <w:p>
      <w:pPr>
        <w:spacing w:after="90" w:line="268"/>
        <w:ind w:left="360"/>
        <w:jc w:val="both"/>
      </w:pPr>
      <w:r>
        <w:rPr>
          <w:b/>
          <w:bCs/>
          <w:color w:val="111111"/>
          <w:sz w:val="20"/>
          <w:szCs w:val="20"/>
        </w:rPr>
        <w:t xml:space="preserve">— Diseño UX / UI: </w:t>
      </w:r>
      <w:r>
        <w:rPr>
          <w:b/>
          <w:bCs/>
          <w:color w:val="8a5a00"/>
          <w:sz w:val="20"/>
          <w:szCs w:val="20"/>
        </w:rPr>
        <w:t xml:space="preserve">$ — pendiente.</w:t>
      </w:r>
    </w:p>
    <w:p>
      <w:pPr>
        <w:spacing w:after="90" w:line="268"/>
        <w:ind w:left="360"/>
        <w:jc w:val="both"/>
      </w:pPr>
      <w:r>
        <w:rPr>
          <w:b/>
          <w:bCs/>
          <w:color w:val="111111"/>
          <w:sz w:val="20"/>
          <w:szCs w:val="20"/>
        </w:rPr>
        <w:t xml:space="preserve">— Desarrollo · Sprint 1: </w:t>
      </w:r>
      <w:r>
        <w:rPr>
          <w:b/>
          <w:bCs/>
          <w:color w:val="8a5a00"/>
          <w:sz w:val="20"/>
          <w:szCs w:val="20"/>
        </w:rPr>
        <w:t xml:space="preserve">$ — pendiente.</w:t>
      </w:r>
    </w:p>
    <w:p>
      <w:pPr>
        <w:spacing w:after="90" w:line="268"/>
        <w:ind w:left="360"/>
        <w:jc w:val="both"/>
      </w:pPr>
      <w:r>
        <w:rPr>
          <w:b/>
          <w:bCs/>
          <w:color w:val="111111"/>
          <w:sz w:val="20"/>
          <w:szCs w:val="20"/>
        </w:rPr>
        <w:t xml:space="preserve">— Desarrollo · Sprint 2: </w:t>
      </w:r>
      <w:r>
        <w:rPr>
          <w:b/>
          <w:bCs/>
          <w:color w:val="8a5a00"/>
          <w:sz w:val="20"/>
          <w:szCs w:val="20"/>
        </w:rPr>
        <w:t xml:space="preserve">$ — pendiente.</w:t>
      </w:r>
    </w:p>
    <w:p>
      <w:pPr>
        <w:spacing w:after="90" w:line="268"/>
        <w:ind w:left="360"/>
        <w:jc w:val="both"/>
      </w:pPr>
      <w:r>
        <w:rPr>
          <w:b/>
          <w:bCs/>
          <w:color w:val="111111"/>
          <w:sz w:val="20"/>
          <w:szCs w:val="20"/>
        </w:rPr>
        <w:t xml:space="preserve">— Producción: </w:t>
      </w:r>
      <w:r>
        <w:rPr>
          <w:b/>
          <w:bCs/>
          <w:color w:val="8a5a00"/>
          <w:sz w:val="20"/>
          <w:szCs w:val="20"/>
        </w:rPr>
        <w:t xml:space="preserve">$ — pendiente.</w:t>
      </w:r>
    </w:p>
    <w:p>
      <w:pPr>
        <w:spacing w:after="90" w:line="268"/>
        <w:ind w:left="360"/>
        <w:jc w:val="both"/>
      </w:pPr>
      <w:r>
        <w:rPr>
          <w:b/>
          <w:bCs/>
          <w:color w:val="111111"/>
          <w:sz w:val="20"/>
          <w:szCs w:val="20"/>
        </w:rPr>
        <w:t xml:space="preserve">— Soporte: </w:t>
      </w:r>
      <w:r>
        <w:rPr>
          <w:b/>
          <w:bCs/>
          <w:color w:val="8a5a00"/>
          <w:sz w:val="20"/>
          <w:szCs w:val="20"/>
        </w:rPr>
        <w:t xml:space="preserve">$ — pendiente.</w:t>
      </w:r>
    </w:p>
    <w:p>
      <w:pPr>
        <w:spacing w:after="320" w:before="220"/>
        <w:jc w:val="both"/>
      </w:pPr>
      <w:r>
        <w:rPr>
          <w:i/>
          <w:iCs/>
          <w:color w:val="6b6b6b"/>
          <w:sz w:val="21"/>
          <w:szCs w:val="21"/>
        </w:rPr>
        <w:t xml:space="preserve">Leído que fue el presente Contrato y sus Anexos, las Partes lo firman de conformidad por duplicado.</w:t>
      </w:r>
    </w:p>
    <w:p>
      <w:pPr>
        <w:tabs>
          <w:tab w:val="left" w:pos="5040"/>
        </w:tabs>
        <w:spacing w:before="160"/>
      </w:pPr>
      <w:r>
        <w:rPr>
          <w:sz w:val="21"/>
          <w:szCs w:val="21"/>
        </w:rPr>
        <w:t xml:space="preserve">____________________________________</w:t>
      </w:r>
      <w:r>
        <w:rPr>
          <w:sz w:val="21"/>
          <w:szCs w:val="21"/>
        </w:rPr>
        <w:tab/>
        <w:t xml:space="preserve">____________________________________</w:t>
      </w:r>
    </w:p>
    <w:p>
      <w:pPr>
        <w:tabs>
          <w:tab w:val="left" w:pos="5040"/>
        </w:tabs>
      </w:pPr>
      <w:r>
        <w:rPr>
          <w:b/>
          <w:bCs/>
          <w:sz w:val="21"/>
          <w:szCs w:val="21"/>
        </w:rPr>
        <w:t xml:space="preserve">El Prestador (Void)</w:t>
      </w:r>
      <w:r>
        <w:rPr>
          <w:b/>
          <w:bCs/>
          <w:sz w:val="21"/>
          <w:szCs w:val="21"/>
        </w:rPr>
        <w:tab/>
        <w:t xml:space="preserve">El Cliente</w:t>
      </w:r>
    </w:p>
    <w:p>
      <w:pPr>
        <w:tabs>
          <w:tab w:val="left" w:pos="5040"/>
        </w:tabs>
      </w:pPr>
      <w:r>
        <w:rPr>
          <w:color w:val="6b6b6b"/>
          <w:sz w:val="19"/>
          <w:szCs w:val="19"/>
        </w:rPr>
        <w:t xml:space="preserve">Nombre: </w:t>
      </w:r>
      <w:r>
        <w:rPr>
          <w:b/>
          <w:bCs/>
          <w:color w:val="8a5a00"/>
          <w:sz w:val="19"/>
          <w:szCs w:val="19"/>
        </w:rPr>
        <w:t xml:space="preserve">[representante legal]</w:t>
      </w:r>
      <w:r>
        <w:rPr>
          <w:color w:val="6b6b6b"/>
          <w:sz w:val="19"/>
          <w:szCs w:val="19"/>
        </w:rPr>
        <w:tab/>
        <w:t xml:space="preserve">Nombre: </w:t>
      </w:r>
      <w:r>
        <w:rPr>
          <w:b/>
          <w:bCs/>
          <w:color w:val="8a5a00"/>
          <w:sz w:val="19"/>
          <w:szCs w:val="19"/>
        </w:rPr>
        <w:t xml:space="preserve">José Alejandro Gutiérrez Pineda</w:t>
      </w:r>
    </w:p>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6b6b6b"/>
        <w:sz w:val="15"/>
        <w:szCs w:val="15"/>
      </w:rPr>
      <w:t xml:space="preserve">The Void House · Confidencial — Página </w:t>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11111" w:sz="6" w:space="6"/>
      </w:pBdr>
      <w:tabs>
        <w:tab w:val="right" w:pos="9026"/>
      </w:tabs>
      <w:spacing w:after="40"/>
    </w:pPr>
    <w:r>
      <w:drawing>
        <wp:inline distT="0" distB="0" distL="0" distR="0">
          <wp:extent cx="704850" cy="314325"/>
          <wp:effectExtent t="0" r="0" b="0" l="0"/>
          <wp:docPr id="1" name="VOID" descr="VOID" title="V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04850" cy="314325"/>
                  </a:xfrm>
                  <a:prstGeom prst="rect">
                    <a:avLst/>
                  </a:prstGeom>
                </pic:spPr>
              </pic:pic>
            </a:graphicData>
          </a:graphic>
        </wp:inline>
      </w:drawing>
    </w:r>
    <w:r>
      <w:rPr>
        <w:rFonts w:ascii="Arial" w:cs="Arial" w:eastAsia="Arial" w:hAnsi="Arial"/>
        <w:color w:val="6b6b6b"/>
        <w:sz w:val="15"/>
        <w:szCs w:val="15"/>
      </w:rPr>
      <w:tab/>
      <w:t xml:space="preserve">Contrato de Prestación de Servicios y Obra por Encargo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11111"/>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00" w:before="240"/>
      <w:outlineLvl w:val="0"/>
    </w:pPr>
    <w:rPr>
      <w:rFonts w:ascii="Georgia" w:cs="Georgia" w:eastAsia="Georgia" w:hAnsi="Georgia"/>
      <w:b/>
      <w:bCs/>
      <w:color w:val="111111"/>
      <w:sz w:val="23"/>
      <w:szCs w:val="23"/>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e87aafca221f2944586a3593fb160599be8952d3.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2026-07-06T20:11:41.361Z</dcterms:created>
  <dcterms:modified xsi:type="dcterms:W3CDTF">2026-07-06T20:11:41.361Z</dcterms:modified>
</cp:coreProperties>
</file>

<file path=docProps/custom.xml><?xml version="1.0" encoding="utf-8"?>
<Properties xmlns="http://schemas.openxmlformats.org/officeDocument/2006/custom-properties" xmlns:vt="http://schemas.openxmlformats.org/officeDocument/2006/docPropsVTypes"/>
</file>